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2" w:rsidRPr="00AE31A2" w:rsidRDefault="00F06EF2" w:rsidP="00DC4FC8">
      <w:pPr>
        <w:rPr>
          <w:sz w:val="24"/>
          <w:szCs w:val="24"/>
        </w:rPr>
      </w:pPr>
    </w:p>
    <w:p w:rsidR="00AE31A2" w:rsidRPr="00AE31A2" w:rsidRDefault="00AE31A2" w:rsidP="00AE31A2">
      <w:pPr>
        <w:pStyle w:val="Heading1"/>
        <w:ind w:left="567" w:right="-1" w:firstLine="0"/>
        <w:jc w:val="center"/>
        <w:rPr>
          <w:rFonts w:asciiTheme="minorHAnsi" w:hAnsiTheme="minorHAnsi"/>
          <w:u w:val="none"/>
        </w:rPr>
      </w:pPr>
      <w:r w:rsidRPr="00AE31A2">
        <w:rPr>
          <w:rFonts w:asciiTheme="minorHAnsi" w:hAnsiTheme="minorHAnsi"/>
          <w:color w:val="0E233D"/>
          <w:u w:val="thick" w:color="0E233D"/>
        </w:rPr>
        <w:t>TERMO DE REFERÊNCIA PARA COTAÇÃO DE PREÇOS</w:t>
      </w:r>
      <w:r w:rsidRPr="00AE31A2">
        <w:rPr>
          <w:rFonts w:asciiTheme="minorHAnsi" w:hAnsiTheme="minorHAnsi"/>
          <w:color w:val="0E233D"/>
          <w:u w:val="none"/>
        </w:rPr>
        <w:t xml:space="preserve"> </w:t>
      </w:r>
      <w:r w:rsidRPr="00AE31A2">
        <w:rPr>
          <w:rFonts w:asciiTheme="minorHAnsi" w:hAnsiTheme="minorHAnsi"/>
          <w:color w:val="0E233D"/>
          <w:u w:val="thick" w:color="0E233D"/>
        </w:rPr>
        <w:t>DE MANUTENÇÃO DE EQUIPAMENTOS DE TI</w:t>
      </w:r>
    </w:p>
    <w:p w:rsidR="00AE31A2" w:rsidRPr="00AE31A2" w:rsidRDefault="00AE31A2" w:rsidP="00AE31A2">
      <w:pPr>
        <w:pStyle w:val="Corpodetexto"/>
        <w:ind w:left="567" w:right="-1"/>
        <w:jc w:val="center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spacing w:before="92"/>
        <w:ind w:left="284"/>
        <w:jc w:val="right"/>
        <w:rPr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11"/>
        <w:rPr>
          <w:rFonts w:asciiTheme="minorHAnsi" w:hAnsiTheme="minorHAnsi"/>
          <w:b/>
          <w:sz w:val="24"/>
          <w:szCs w:val="24"/>
        </w:rPr>
      </w:pPr>
    </w:p>
    <w:p w:rsidR="00AE31A2" w:rsidRDefault="00AE31A2" w:rsidP="00AE31A2">
      <w:pPr>
        <w:pStyle w:val="Heading2"/>
        <w:numPr>
          <w:ilvl w:val="0"/>
          <w:numId w:val="3"/>
        </w:numPr>
        <w:tabs>
          <w:tab w:val="left" w:pos="490"/>
        </w:tabs>
        <w:ind w:hanging="27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</w:t>
      </w:r>
      <w:r w:rsidRPr="00AE31A2">
        <w:rPr>
          <w:rFonts w:asciiTheme="minorHAnsi" w:hAnsiTheme="minorHAnsi"/>
          <w:sz w:val="24"/>
          <w:szCs w:val="24"/>
        </w:rPr>
        <w:t xml:space="preserve"> OBJETO</w:t>
      </w:r>
    </w:p>
    <w:p w:rsidR="00AE31A2" w:rsidRPr="00AE31A2" w:rsidRDefault="00AE31A2" w:rsidP="00AE31A2">
      <w:pPr>
        <w:pStyle w:val="Heading2"/>
        <w:tabs>
          <w:tab w:val="left" w:pos="490"/>
        </w:tabs>
        <w:ind w:firstLine="0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1"/>
        <w:ind w:left="496" w:right="102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 xml:space="preserve">Contratação de empresa especializada em serviços de assistência técnica em software e hardware para manutenção corretiva em equipamentos de informática: microcomputadores (CPU), monitores, servidores, notebooks, impressoras, nobreaks, scanner e </w:t>
      </w:r>
      <w:r w:rsidRPr="00AE31A2">
        <w:rPr>
          <w:rFonts w:asciiTheme="minorHAnsi" w:hAnsiTheme="minorHAnsi"/>
          <w:sz w:val="24"/>
          <w:szCs w:val="24"/>
          <w:u w:val="single"/>
        </w:rPr>
        <w:t>equipamentos correlatos</w:t>
      </w:r>
      <w:r w:rsidRPr="00AE31A2">
        <w:rPr>
          <w:rFonts w:asciiTheme="minorHAnsi" w:hAnsiTheme="minorHAnsi"/>
          <w:sz w:val="24"/>
          <w:szCs w:val="24"/>
        </w:rPr>
        <w:t>, com ou sem fornecimento de peças, em regime de menor preço de hora técnica, pertencentes ao acervo patrimonial da SC PARTICIPAÇÕES E PARCERIAS S.A.</w:t>
      </w:r>
      <w:r w:rsidRPr="00AE31A2">
        <w:rPr>
          <w:rFonts w:asciiTheme="minorHAnsi" w:hAnsiTheme="minorHAnsi"/>
          <w:b/>
          <w:sz w:val="24"/>
          <w:szCs w:val="24"/>
        </w:rPr>
        <w:t xml:space="preserve">, </w:t>
      </w:r>
      <w:r w:rsidRPr="00AE31A2">
        <w:rPr>
          <w:rFonts w:asciiTheme="minorHAnsi" w:hAnsiTheme="minorHAnsi"/>
          <w:sz w:val="24"/>
          <w:szCs w:val="24"/>
        </w:rPr>
        <w:t>localizada à Rod. SC 401, km 5 - nº 4600 - CEP 88.032-005 - Saco Grande - Florianópolis – SC. Os serviços devem incluir a desinstalação e instalação de componentes, acessórios e dispositivos, bem como instalação e configuração do Sistema Operacional e demais softwares necessários  ao funcionamento dos</w:t>
      </w:r>
      <w:r w:rsidRPr="00AE31A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equipamentos.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8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0"/>
          <w:numId w:val="3"/>
        </w:numPr>
        <w:tabs>
          <w:tab w:val="left" w:pos="490"/>
        </w:tabs>
        <w:spacing w:before="1"/>
        <w:ind w:hanging="278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DA</w:t>
      </w:r>
      <w:r w:rsidRPr="00AE31A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JUSTIFICATIVA</w:t>
      </w:r>
    </w:p>
    <w:p w:rsidR="00AE31A2" w:rsidRPr="00AE31A2" w:rsidRDefault="00AE31A2" w:rsidP="00AE31A2">
      <w:pPr>
        <w:pStyle w:val="Corpodetexto"/>
        <w:spacing w:before="1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ind w:left="496" w:right="106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A deficiência do quantitativo de profissionais com perfis voltados à manutenção de hardware, capacitados para atender as demandas da SCPar, vem ocasionando entraves ao desempenho das atividades desenvolvidas pelos seus colaboradores, quando têm que recorrer à assistência técnica. Logo, faz-se necessária a contratação de serviço especializado para esse fim.</w:t>
      </w:r>
    </w:p>
    <w:p w:rsidR="00AE31A2" w:rsidRPr="00AE31A2" w:rsidRDefault="00AE31A2" w:rsidP="00AE31A2">
      <w:pPr>
        <w:pStyle w:val="Corpodetexto"/>
        <w:spacing w:before="122"/>
        <w:ind w:left="496" w:right="102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 xml:space="preserve">Este termo de referência visa à contratação de um fornecedor de serviços de reparos e manutenção de microcomputadores (CPU), monitores, servidores, notebooks, impressoras, nobreaks, scanner e </w:t>
      </w:r>
      <w:r w:rsidRPr="00AE31A2">
        <w:rPr>
          <w:rFonts w:asciiTheme="minorHAnsi" w:hAnsiTheme="minorHAnsi"/>
          <w:sz w:val="24"/>
          <w:szCs w:val="24"/>
          <w:u w:val="single"/>
        </w:rPr>
        <w:t>equipamentos</w:t>
      </w:r>
      <w:r w:rsidRPr="00AE31A2">
        <w:rPr>
          <w:rFonts w:asciiTheme="minorHAnsi" w:hAnsiTheme="minorHAnsi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  <w:u w:val="single"/>
        </w:rPr>
        <w:t>correlatos</w:t>
      </w:r>
      <w:r w:rsidRPr="00AE31A2">
        <w:rPr>
          <w:rFonts w:asciiTheme="minorHAnsi" w:hAnsiTheme="minorHAnsi"/>
          <w:sz w:val="24"/>
          <w:szCs w:val="24"/>
        </w:rPr>
        <w:t>, pertencentes ao parque computacional da SC PARTICIPAÇÕES E PARCERIAS S.A. - SCPar</w:t>
      </w:r>
      <w:r w:rsidRPr="00AE31A2">
        <w:rPr>
          <w:rFonts w:asciiTheme="minorHAnsi" w:hAnsiTheme="minorHAnsi"/>
          <w:b/>
          <w:sz w:val="24"/>
          <w:szCs w:val="24"/>
        </w:rPr>
        <w:t xml:space="preserve">, </w:t>
      </w:r>
      <w:r w:rsidRPr="00AE31A2">
        <w:rPr>
          <w:rFonts w:asciiTheme="minorHAnsi" w:hAnsiTheme="minorHAnsi"/>
          <w:sz w:val="24"/>
          <w:szCs w:val="24"/>
        </w:rPr>
        <w:t>cujo objetivo é melhorar a qualidade dos serviços prestados aos clientes internos e externos, mediante o pronto atendimento às demandas de infra-estrutura de tecnologia da informação de forma a apoiar, tempestivamente, os processos e atividades finalísticas.</w:t>
      </w:r>
    </w:p>
    <w:p w:rsidR="00AE31A2" w:rsidRPr="00AE31A2" w:rsidRDefault="00AE31A2" w:rsidP="00AE31A2">
      <w:pPr>
        <w:pStyle w:val="Corpodetexto"/>
        <w:spacing w:before="120"/>
        <w:ind w:left="496" w:right="113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Assim, o conserto propriamente dito será muito mais rápido e de qualidade, uma vez que haverá uma empresa especializada realizando os serviços com eficácia e eficiência.</w:t>
      </w:r>
    </w:p>
    <w:p w:rsidR="00AE31A2" w:rsidRDefault="00AE31A2" w:rsidP="00AE31A2">
      <w:pPr>
        <w:pStyle w:val="Corpodetexto"/>
        <w:spacing w:before="1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Corpodetexto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0"/>
          <w:numId w:val="3"/>
        </w:numPr>
        <w:tabs>
          <w:tab w:val="left" w:pos="490"/>
        </w:tabs>
        <w:ind w:hanging="278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DOS SERVIÇOS E DA FORMA DE</w:t>
      </w:r>
      <w:r w:rsidRPr="00AE31A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ATENDIMENTO</w:t>
      </w:r>
    </w:p>
    <w:p w:rsidR="00AE31A2" w:rsidRPr="00AE31A2" w:rsidRDefault="00AE31A2" w:rsidP="00AE31A2">
      <w:pPr>
        <w:pStyle w:val="Corpodetexto"/>
        <w:spacing w:before="6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1"/>
          <w:numId w:val="3"/>
        </w:numPr>
        <w:tabs>
          <w:tab w:val="left" w:pos="768"/>
        </w:tabs>
        <w:autoSpaceDE w:val="0"/>
        <w:autoSpaceDN w:val="0"/>
        <w:spacing w:before="1" w:after="0" w:line="240" w:lineRule="auto"/>
        <w:ind w:hanging="556"/>
        <w:contextualSpacing w:val="0"/>
        <w:rPr>
          <w:b/>
          <w:sz w:val="24"/>
          <w:szCs w:val="24"/>
        </w:rPr>
      </w:pPr>
      <w:r w:rsidRPr="00AE31A2">
        <w:rPr>
          <w:b/>
          <w:sz w:val="24"/>
          <w:szCs w:val="24"/>
        </w:rPr>
        <w:t>- ABRANGÊNCIA DOS SERVIÇOS</w:t>
      </w:r>
    </w:p>
    <w:p w:rsidR="00AE31A2" w:rsidRPr="00AE31A2" w:rsidRDefault="00AE31A2" w:rsidP="00AE31A2">
      <w:pPr>
        <w:pStyle w:val="Corpodetexto"/>
        <w:spacing w:before="120"/>
        <w:ind w:left="496" w:right="104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lastRenderedPageBreak/>
        <w:t>A assistência técnica para os equipamentos de informática da SC PARTICIPAÇÕES E PARCERIAS S.A.</w:t>
      </w:r>
      <w:r w:rsidRPr="00AE31A2">
        <w:rPr>
          <w:rFonts w:asciiTheme="minorHAnsi" w:hAnsiTheme="minorHAnsi"/>
          <w:b/>
          <w:sz w:val="24"/>
          <w:szCs w:val="24"/>
        </w:rPr>
        <w:t xml:space="preserve">,  </w:t>
      </w:r>
      <w:r w:rsidRPr="00AE31A2">
        <w:rPr>
          <w:rFonts w:asciiTheme="minorHAnsi" w:hAnsiTheme="minorHAnsi"/>
          <w:sz w:val="24"/>
          <w:szCs w:val="24"/>
        </w:rPr>
        <w:t xml:space="preserve">deve cobrir a manutenção corretiva em microcomputadores (CPU), monitores, servidores, notebooks, impressoras, nobreaks, scanner e </w:t>
      </w:r>
      <w:r w:rsidRPr="00AE31A2">
        <w:rPr>
          <w:rFonts w:asciiTheme="minorHAnsi" w:hAnsiTheme="minorHAnsi"/>
          <w:sz w:val="24"/>
          <w:szCs w:val="24"/>
          <w:u w:val="single"/>
        </w:rPr>
        <w:t>equipamentos correlatos</w:t>
      </w:r>
      <w:r w:rsidRPr="00AE31A2">
        <w:rPr>
          <w:rFonts w:asciiTheme="minorHAnsi" w:hAnsiTheme="minorHAnsi"/>
          <w:sz w:val="24"/>
          <w:szCs w:val="24"/>
        </w:rPr>
        <w:t>, incluindo instalação e configuração de</w:t>
      </w:r>
      <w:r w:rsidRPr="00AE31A2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software.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9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1"/>
          <w:numId w:val="3"/>
        </w:numPr>
        <w:tabs>
          <w:tab w:val="left" w:pos="768"/>
        </w:tabs>
        <w:ind w:hanging="556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ESPECIFICAÇÃO DOS SERVIÇOS</w:t>
      </w:r>
    </w:p>
    <w:p w:rsidR="00AE31A2" w:rsidRPr="00AE31A2" w:rsidRDefault="00AE31A2" w:rsidP="00AE31A2">
      <w:pPr>
        <w:pStyle w:val="Corpodetexto"/>
        <w:spacing w:before="6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hanging="722"/>
        <w:contextualSpacing w:val="0"/>
        <w:jc w:val="both"/>
        <w:rPr>
          <w:b/>
          <w:sz w:val="24"/>
          <w:szCs w:val="24"/>
        </w:rPr>
      </w:pPr>
      <w:r w:rsidRPr="00AE31A2">
        <w:rPr>
          <w:sz w:val="24"/>
          <w:szCs w:val="24"/>
        </w:rPr>
        <w:t xml:space="preserve">- </w:t>
      </w:r>
      <w:r w:rsidRPr="00AE31A2">
        <w:rPr>
          <w:b/>
          <w:sz w:val="24"/>
          <w:szCs w:val="24"/>
        </w:rPr>
        <w:t>Manutenção</w:t>
      </w:r>
      <w:r w:rsidRPr="00AE31A2">
        <w:rPr>
          <w:b/>
          <w:spacing w:val="-2"/>
          <w:sz w:val="24"/>
          <w:szCs w:val="24"/>
        </w:rPr>
        <w:t xml:space="preserve"> </w:t>
      </w:r>
      <w:r w:rsidRPr="00AE31A2">
        <w:rPr>
          <w:b/>
          <w:sz w:val="24"/>
          <w:szCs w:val="24"/>
        </w:rPr>
        <w:t>corretiva</w:t>
      </w:r>
    </w:p>
    <w:p w:rsidR="00AE31A2" w:rsidRPr="00AE31A2" w:rsidRDefault="00AE31A2" w:rsidP="00AE31A2">
      <w:pPr>
        <w:pStyle w:val="Corpodetexto"/>
        <w:spacing w:before="1"/>
        <w:ind w:left="212" w:right="107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Entende-se por manutenção corretiva o diagnóstico de problemas e a substituição de componentes ou acessórios, que venham a ser adquiridos pela SC PARTICIPAÇÕES E PARCERIAS S.A. ou pela contratada, em razão de defeito, bem como instalação e configuração de “softwares” necessários ao funcionamento do equipamento.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1"/>
          <w:numId w:val="3"/>
        </w:numPr>
        <w:tabs>
          <w:tab w:val="left" w:pos="768"/>
        </w:tabs>
        <w:spacing w:before="182"/>
        <w:ind w:hanging="556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MANUTENÇÃO CORRETIVA -</w:t>
      </w:r>
      <w:r w:rsidRPr="00AE31A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DETALHAMENTO.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948"/>
        </w:tabs>
        <w:autoSpaceDE w:val="0"/>
        <w:autoSpaceDN w:val="0"/>
        <w:spacing w:before="1" w:after="0" w:line="242" w:lineRule="auto"/>
        <w:ind w:left="212" w:right="114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A manutenção de impressoras a laser monocromáticas e coloridas compreende, no mínimo, a troca de circuito lógico, manutenção do “kit” de tração, manutenção do “kit” de fusão, limpeza interna para desobstrução dos componentes óticos e </w:t>
      </w:r>
      <w:proofErr w:type="spellStart"/>
      <w:r w:rsidRPr="00AE31A2">
        <w:rPr>
          <w:sz w:val="24"/>
          <w:szCs w:val="24"/>
        </w:rPr>
        <w:t>tracionadores</w:t>
      </w:r>
      <w:proofErr w:type="spellEnd"/>
      <w:r w:rsidRPr="00AE31A2">
        <w:rPr>
          <w:sz w:val="24"/>
          <w:szCs w:val="24"/>
        </w:rPr>
        <w:t xml:space="preserve"> ou retificação dos circuitos da fonte de</w:t>
      </w:r>
      <w:r w:rsidRPr="00AE31A2">
        <w:rPr>
          <w:spacing w:val="-2"/>
          <w:sz w:val="24"/>
          <w:szCs w:val="24"/>
        </w:rPr>
        <w:t xml:space="preserve"> </w:t>
      </w:r>
      <w:r w:rsidRPr="00AE31A2">
        <w:rPr>
          <w:sz w:val="24"/>
          <w:szCs w:val="24"/>
        </w:rPr>
        <w:t>alimentação.</w:t>
      </w:r>
    </w:p>
    <w:p w:rsidR="00AE31A2" w:rsidRPr="00AE31A2" w:rsidRDefault="00AE31A2" w:rsidP="00AE31A2">
      <w:pPr>
        <w:pStyle w:val="Corpodetexto"/>
        <w:spacing w:before="3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977"/>
        </w:tabs>
        <w:autoSpaceDE w:val="0"/>
        <w:autoSpaceDN w:val="0"/>
        <w:spacing w:after="0" w:line="242" w:lineRule="auto"/>
        <w:ind w:left="212" w:right="115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– A Manutenção de Monitores de vídeo compreende, no mínimo, o reparo nos circuitos da fonte de alimentação e placa lógica dos monitores analógicos ou digitais (LCD).</w:t>
      </w:r>
    </w:p>
    <w:p w:rsidR="00AE31A2" w:rsidRPr="00AE31A2" w:rsidRDefault="00AE31A2" w:rsidP="00AE31A2">
      <w:pPr>
        <w:pStyle w:val="PargrafodaLista"/>
        <w:widowControl w:val="0"/>
        <w:tabs>
          <w:tab w:val="left" w:pos="955"/>
        </w:tabs>
        <w:autoSpaceDE w:val="0"/>
        <w:autoSpaceDN w:val="0"/>
        <w:spacing w:before="64" w:after="0" w:line="242" w:lineRule="auto"/>
        <w:ind w:left="212" w:right="106"/>
        <w:contextualSpacing w:val="0"/>
        <w:rPr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955"/>
        </w:tabs>
        <w:autoSpaceDE w:val="0"/>
        <w:autoSpaceDN w:val="0"/>
        <w:spacing w:before="64" w:after="0" w:line="242" w:lineRule="auto"/>
        <w:ind w:left="212" w:right="106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Manutenção de </w:t>
      </w:r>
      <w:proofErr w:type="spellStart"/>
      <w:r w:rsidRPr="00AE31A2">
        <w:rPr>
          <w:sz w:val="24"/>
          <w:szCs w:val="24"/>
        </w:rPr>
        <w:t>CPUs</w:t>
      </w:r>
      <w:proofErr w:type="spellEnd"/>
      <w:r w:rsidRPr="00AE31A2">
        <w:rPr>
          <w:sz w:val="24"/>
          <w:szCs w:val="24"/>
        </w:rPr>
        <w:t xml:space="preserve"> compreende, no mínimo, a troca de placas-mãe, processadores, discos </w:t>
      </w:r>
      <w:proofErr w:type="gramStart"/>
      <w:r w:rsidRPr="00AE31A2">
        <w:rPr>
          <w:sz w:val="24"/>
          <w:szCs w:val="24"/>
        </w:rPr>
        <w:t>rígidos</w:t>
      </w:r>
      <w:proofErr w:type="gramEnd"/>
      <w:r w:rsidRPr="00AE31A2">
        <w:rPr>
          <w:sz w:val="24"/>
          <w:szCs w:val="24"/>
        </w:rPr>
        <w:t xml:space="preserve">, fontes de alimentação, memórias, bateria da CMOS, teclado, mouse, cabo de alimentação, placa de vídeo, placa de rede, chaves de força (liga/desliga), cabos flat para </w:t>
      </w:r>
      <w:r w:rsidRPr="00AE31A2">
        <w:rPr>
          <w:i/>
          <w:sz w:val="24"/>
          <w:szCs w:val="24"/>
        </w:rPr>
        <w:t xml:space="preserve">drives </w:t>
      </w:r>
      <w:r w:rsidRPr="00AE31A2">
        <w:rPr>
          <w:sz w:val="24"/>
          <w:szCs w:val="24"/>
        </w:rPr>
        <w:t>e para discos rígidos/unidades de CD-ROM, por outro componente equivalente em qualidade ao original ou superior sempre que não for possível o</w:t>
      </w:r>
      <w:r w:rsidRPr="00AE31A2">
        <w:rPr>
          <w:spacing w:val="-20"/>
          <w:sz w:val="24"/>
          <w:szCs w:val="24"/>
        </w:rPr>
        <w:t xml:space="preserve"> </w:t>
      </w:r>
      <w:r w:rsidRPr="00AE31A2">
        <w:rPr>
          <w:sz w:val="24"/>
          <w:szCs w:val="24"/>
        </w:rPr>
        <w:t>reparo.</w:t>
      </w:r>
    </w:p>
    <w:p w:rsidR="00AE31A2" w:rsidRPr="00AE31A2" w:rsidRDefault="00AE31A2" w:rsidP="00AE31A2">
      <w:pPr>
        <w:pStyle w:val="Corpodetexto"/>
        <w:spacing w:before="5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1"/>
          <w:numId w:val="3"/>
        </w:numPr>
        <w:tabs>
          <w:tab w:val="left" w:pos="768"/>
        </w:tabs>
        <w:ind w:hanging="556"/>
        <w:jc w:val="both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FORMA DE</w:t>
      </w:r>
      <w:r w:rsidRPr="00AE31A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ATENDIMENTO</w:t>
      </w:r>
    </w:p>
    <w:p w:rsidR="00AE31A2" w:rsidRPr="00AE31A2" w:rsidRDefault="00AE31A2" w:rsidP="00AE31A2">
      <w:pPr>
        <w:pStyle w:val="Corpodetexto"/>
        <w:spacing w:before="10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24"/>
        </w:tabs>
        <w:autoSpaceDE w:val="0"/>
        <w:autoSpaceDN w:val="0"/>
        <w:spacing w:after="0" w:line="242" w:lineRule="auto"/>
        <w:ind w:left="284" w:right="108" w:firstLine="0"/>
        <w:contextualSpacing w:val="0"/>
        <w:jc w:val="both"/>
        <w:rPr>
          <w:sz w:val="24"/>
          <w:szCs w:val="24"/>
        </w:rPr>
      </w:pPr>
      <w:r w:rsidRPr="00AE31A2">
        <w:rPr>
          <w:b/>
          <w:sz w:val="24"/>
          <w:szCs w:val="24"/>
        </w:rPr>
        <w:t xml:space="preserve">- </w:t>
      </w:r>
      <w:r w:rsidRPr="00AE31A2">
        <w:rPr>
          <w:sz w:val="24"/>
          <w:szCs w:val="24"/>
        </w:rPr>
        <w:t xml:space="preserve">O inicio do atendimento não poderá ultrapassar a 07 (sete) horas, contadas a partir do chamado feito por telefone ou e-mail, observado o horário normal de funcionamento da SC PARTICIPAÇÕES E PARCERIAS S.A., isto é: </w:t>
      </w:r>
      <w:proofErr w:type="gramStart"/>
      <w:r w:rsidRPr="00AE31A2">
        <w:rPr>
          <w:sz w:val="24"/>
          <w:szCs w:val="24"/>
        </w:rPr>
        <w:t>12:00</w:t>
      </w:r>
      <w:proofErr w:type="gramEnd"/>
      <w:r w:rsidRPr="00AE31A2">
        <w:rPr>
          <w:sz w:val="24"/>
          <w:szCs w:val="24"/>
        </w:rPr>
        <w:t xml:space="preserve"> às 19:00 horas, de segunda a</w:t>
      </w:r>
      <w:r w:rsidRPr="00AE31A2">
        <w:rPr>
          <w:spacing w:val="-2"/>
          <w:sz w:val="24"/>
          <w:szCs w:val="24"/>
        </w:rPr>
        <w:t xml:space="preserve"> </w:t>
      </w:r>
      <w:r w:rsidRPr="00AE31A2">
        <w:rPr>
          <w:sz w:val="24"/>
          <w:szCs w:val="24"/>
        </w:rPr>
        <w:t>sexta-feira.</w:t>
      </w:r>
    </w:p>
    <w:p w:rsidR="00AE31A2" w:rsidRPr="00AE31A2" w:rsidRDefault="00AE31A2" w:rsidP="00AE31A2">
      <w:pPr>
        <w:pStyle w:val="Corpodetexto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2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34"/>
        </w:tabs>
        <w:autoSpaceDE w:val="0"/>
        <w:autoSpaceDN w:val="0"/>
        <w:spacing w:after="0" w:line="242" w:lineRule="auto"/>
        <w:ind w:left="284" w:right="104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- Os chamados técnicos deverão ser concluídos no prazo máximo de 07 (sete) horas após iniciado o atendimento, ressalvado o disposto no subitem</w:t>
      </w:r>
      <w:r w:rsidRPr="00AE31A2">
        <w:rPr>
          <w:spacing w:val="2"/>
          <w:sz w:val="24"/>
          <w:szCs w:val="24"/>
        </w:rPr>
        <w:t xml:space="preserve"> </w:t>
      </w:r>
      <w:r w:rsidRPr="00AE31A2">
        <w:rPr>
          <w:sz w:val="24"/>
          <w:szCs w:val="24"/>
        </w:rPr>
        <w:t>03.04.6.</w:t>
      </w:r>
    </w:p>
    <w:p w:rsidR="00AE31A2" w:rsidRPr="00AE31A2" w:rsidRDefault="00AE31A2" w:rsidP="00AE31A2">
      <w:pPr>
        <w:pStyle w:val="Corpodetexto"/>
        <w:spacing w:before="7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84"/>
        </w:tabs>
        <w:autoSpaceDE w:val="0"/>
        <w:autoSpaceDN w:val="0"/>
        <w:spacing w:after="0" w:line="240" w:lineRule="auto"/>
        <w:ind w:left="284" w:right="102" w:firstLine="0"/>
        <w:contextualSpacing w:val="0"/>
        <w:jc w:val="both"/>
        <w:rPr>
          <w:sz w:val="24"/>
          <w:szCs w:val="24"/>
        </w:rPr>
      </w:pPr>
      <w:r w:rsidRPr="00AE31A2">
        <w:rPr>
          <w:b/>
          <w:sz w:val="24"/>
          <w:szCs w:val="24"/>
        </w:rPr>
        <w:lastRenderedPageBreak/>
        <w:t xml:space="preserve">- </w:t>
      </w:r>
      <w:r w:rsidRPr="00AE31A2">
        <w:rPr>
          <w:sz w:val="24"/>
          <w:szCs w:val="24"/>
        </w:rPr>
        <w:t xml:space="preserve">Caso haja necessidade de troca de peça e/ou componente, estas deverão ser solicitadas à Coordenação Administrativa, para as devidas providências de aquisição, devendo a </w:t>
      </w:r>
      <w:r w:rsidRPr="00AE31A2">
        <w:rPr>
          <w:b/>
          <w:spacing w:val="16"/>
          <w:sz w:val="24"/>
          <w:szCs w:val="24"/>
        </w:rPr>
        <w:t>CONTRAT</w:t>
      </w:r>
      <w:r w:rsidRPr="00AE31A2">
        <w:rPr>
          <w:b/>
          <w:spacing w:val="14"/>
          <w:sz w:val="24"/>
          <w:szCs w:val="24"/>
        </w:rPr>
        <w:t xml:space="preserve">ADA </w:t>
      </w:r>
      <w:r w:rsidRPr="00AE31A2">
        <w:rPr>
          <w:spacing w:val="17"/>
          <w:sz w:val="24"/>
          <w:szCs w:val="24"/>
        </w:rPr>
        <w:t xml:space="preserve">solicitar, </w:t>
      </w:r>
      <w:r w:rsidRPr="00AE31A2">
        <w:rPr>
          <w:sz w:val="24"/>
          <w:szCs w:val="24"/>
        </w:rPr>
        <w:t xml:space="preserve">por escrito, na própria Solicitação de Serviço, fornecendo o orçamento bem como as características da peça e/ou componentes necessários para eliminação do problema, apresentando o Laudo Técnico, descrevendo o defeito e os serviços que serão realizados para saná-los, e só executar o serviço após </w:t>
      </w:r>
      <w:r w:rsidRPr="00AE31A2">
        <w:rPr>
          <w:sz w:val="24"/>
          <w:szCs w:val="24"/>
          <w:u w:val="single"/>
        </w:rPr>
        <w:t>expressa autorização</w:t>
      </w:r>
      <w:r w:rsidRPr="00AE31A2">
        <w:rPr>
          <w:sz w:val="24"/>
          <w:szCs w:val="24"/>
        </w:rPr>
        <w:t xml:space="preserve"> da</w:t>
      </w:r>
      <w:r w:rsidRPr="00AE31A2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</w:t>
      </w:r>
    </w:p>
    <w:p w:rsidR="00AE31A2" w:rsidRPr="00AE31A2" w:rsidRDefault="00AE31A2" w:rsidP="00AE31A2">
      <w:pPr>
        <w:pStyle w:val="Corpodetexto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34"/>
        </w:tabs>
        <w:autoSpaceDE w:val="0"/>
        <w:autoSpaceDN w:val="0"/>
        <w:spacing w:after="0" w:line="240" w:lineRule="auto"/>
        <w:ind w:left="284" w:right="105" w:firstLine="0"/>
        <w:contextualSpacing w:val="0"/>
        <w:jc w:val="both"/>
        <w:rPr>
          <w:sz w:val="24"/>
          <w:szCs w:val="24"/>
        </w:rPr>
      </w:pPr>
      <w:r w:rsidRPr="00AE31A2">
        <w:rPr>
          <w:b/>
          <w:sz w:val="24"/>
          <w:szCs w:val="24"/>
        </w:rPr>
        <w:t xml:space="preserve">- </w:t>
      </w:r>
      <w:r w:rsidRPr="00AE31A2">
        <w:rPr>
          <w:sz w:val="24"/>
          <w:szCs w:val="24"/>
        </w:rPr>
        <w:t xml:space="preserve">Na execução dos serviços poderão ser utilizadas peças, componentes e acessórios fornecidos pela CONTRATADA, </w:t>
      </w:r>
      <w:r w:rsidRPr="00AE31A2">
        <w:rPr>
          <w:sz w:val="24"/>
          <w:szCs w:val="24"/>
          <w:u w:val="single"/>
        </w:rPr>
        <w:t>se esta apresentar o menor preço, comparativamente com os obtidos no mercado</w:t>
      </w:r>
      <w:r w:rsidRPr="00AE31A2">
        <w:rPr>
          <w:sz w:val="24"/>
          <w:szCs w:val="24"/>
        </w:rPr>
        <w:t xml:space="preserve"> e desde que previamente autorizados pela</w:t>
      </w:r>
      <w:r w:rsidRPr="00AE31A2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19"/>
        </w:tabs>
        <w:autoSpaceDE w:val="0"/>
        <w:autoSpaceDN w:val="0"/>
        <w:spacing w:before="119" w:after="0" w:line="242" w:lineRule="auto"/>
        <w:ind w:left="284" w:right="106" w:firstLine="0"/>
        <w:contextualSpacing w:val="0"/>
        <w:jc w:val="both"/>
        <w:rPr>
          <w:sz w:val="24"/>
          <w:szCs w:val="24"/>
        </w:rPr>
      </w:pPr>
      <w:r w:rsidRPr="00AE31A2">
        <w:rPr>
          <w:b/>
          <w:sz w:val="24"/>
          <w:szCs w:val="24"/>
        </w:rPr>
        <w:t xml:space="preserve">- </w:t>
      </w:r>
      <w:r w:rsidRPr="00AE31A2">
        <w:rPr>
          <w:sz w:val="24"/>
          <w:szCs w:val="24"/>
        </w:rPr>
        <w:t xml:space="preserve">As peças, acessórios e componentes trocados deverão ser devolvidos à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 xml:space="preserve"> para confirmação das trocas constantes na Solicitação de Serviço que servirá para comprovação do serviço executado em caso de auditoria.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79"/>
        </w:tabs>
        <w:autoSpaceDE w:val="0"/>
        <w:autoSpaceDN w:val="0"/>
        <w:spacing w:before="114" w:after="0" w:line="242" w:lineRule="auto"/>
        <w:ind w:left="284" w:right="114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- Verificando-se a total impossibilidade ou inviabilidade financeira de reparo do equipamento, a CONTRATADA deverá devolver o mesmo da forma como o</w:t>
      </w:r>
      <w:r w:rsidRPr="00AE31A2">
        <w:rPr>
          <w:spacing w:val="-8"/>
          <w:sz w:val="24"/>
          <w:szCs w:val="24"/>
        </w:rPr>
        <w:t xml:space="preserve"> </w:t>
      </w:r>
      <w:r w:rsidRPr="00AE31A2">
        <w:rPr>
          <w:sz w:val="24"/>
          <w:szCs w:val="24"/>
        </w:rPr>
        <w:t>recebeu.</w:t>
      </w:r>
    </w:p>
    <w:p w:rsidR="00AE31A2" w:rsidRPr="00AE31A2" w:rsidRDefault="00AE31A2" w:rsidP="00AE31A2">
      <w:pPr>
        <w:pStyle w:val="Corpodetexto"/>
        <w:spacing w:before="11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67"/>
        </w:tabs>
        <w:autoSpaceDE w:val="0"/>
        <w:autoSpaceDN w:val="0"/>
        <w:spacing w:after="0" w:line="242" w:lineRule="auto"/>
        <w:ind w:left="284" w:right="105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- Os serviços de instalação de software e de troca de peça e componente no equipamento em manutenção deverão estar concluídos no prazo máximo de 24 (vinte e quatro) horas, após o recebimento da peça ou componente fornecido pela</w:t>
      </w:r>
      <w:r w:rsidRPr="00AE31A2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</w:t>
      </w:r>
    </w:p>
    <w:p w:rsidR="00AE31A2" w:rsidRPr="00AE31A2" w:rsidRDefault="00AE31A2" w:rsidP="00AE31A2">
      <w:pPr>
        <w:pStyle w:val="Corpodetexto"/>
        <w:spacing w:before="9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spacing w:after="0" w:line="242" w:lineRule="auto"/>
        <w:ind w:left="284" w:right="110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A critério exclusivo da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, poderá ser concedido prazo superior ao estabelecido no subitem 03.04.2, desde que razões de caráter técnico ou força maior sejam apresentados pela</w:t>
      </w:r>
      <w:r w:rsidRPr="00AE31A2">
        <w:rPr>
          <w:spacing w:val="-1"/>
          <w:sz w:val="24"/>
          <w:szCs w:val="24"/>
        </w:rPr>
        <w:t xml:space="preserve"> </w:t>
      </w:r>
      <w:r w:rsidRPr="00AE31A2">
        <w:rPr>
          <w:sz w:val="24"/>
          <w:szCs w:val="24"/>
        </w:rPr>
        <w:t>CONTRATADA.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spacing w:before="117" w:after="0" w:line="242" w:lineRule="auto"/>
        <w:ind w:left="284" w:right="99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Para que a Solicitação de Serviço seja fechada e o trabalho nela especificado seja dado </w:t>
      </w:r>
      <w:r w:rsidRPr="00AE31A2">
        <w:rPr>
          <w:spacing w:val="4"/>
          <w:sz w:val="24"/>
          <w:szCs w:val="24"/>
        </w:rPr>
        <w:t xml:space="preserve">como </w:t>
      </w:r>
      <w:r w:rsidRPr="00AE31A2">
        <w:rPr>
          <w:sz w:val="24"/>
          <w:szCs w:val="24"/>
        </w:rPr>
        <w:t xml:space="preserve">concluído, será necessário o aceite de um técnico da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 Somente com o fechamento da Solicitação de Serviço é que se caracterizará a conclusão do</w:t>
      </w:r>
      <w:r w:rsidRPr="00AE31A2">
        <w:rPr>
          <w:spacing w:val="-5"/>
          <w:sz w:val="24"/>
          <w:szCs w:val="24"/>
        </w:rPr>
        <w:t xml:space="preserve"> </w:t>
      </w:r>
      <w:r w:rsidRPr="00AE31A2">
        <w:rPr>
          <w:sz w:val="24"/>
          <w:szCs w:val="24"/>
        </w:rPr>
        <w:t>serviço.</w:t>
      </w:r>
    </w:p>
    <w:p w:rsidR="00AE31A2" w:rsidRPr="00AE31A2" w:rsidRDefault="00AE31A2" w:rsidP="00AE31A2">
      <w:pPr>
        <w:pStyle w:val="Corpodetexto"/>
        <w:spacing w:before="8"/>
        <w:ind w:left="284"/>
        <w:rPr>
          <w:rFonts w:asciiTheme="minorHAnsi" w:hAnsiTheme="minorHAnsi"/>
          <w:sz w:val="24"/>
          <w:szCs w:val="24"/>
        </w:rPr>
      </w:pPr>
    </w:p>
    <w:p w:rsid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39"/>
        </w:tabs>
        <w:autoSpaceDE w:val="0"/>
        <w:autoSpaceDN w:val="0"/>
        <w:spacing w:after="0" w:line="242" w:lineRule="auto"/>
        <w:ind w:left="284" w:right="105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Todo serviço executado pela CONTRATADA poderá ser posteriormente avaliado pela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, que, de posse da Solicitação de Serviço e, sendo o caso, do Laudo Técnico, emitido antes do reparo, verificará se o mesmo foi efetivamente</w:t>
      </w:r>
      <w:r w:rsidRPr="00AE31A2">
        <w:rPr>
          <w:spacing w:val="-5"/>
          <w:sz w:val="24"/>
          <w:szCs w:val="24"/>
        </w:rPr>
        <w:t xml:space="preserve"> </w:t>
      </w:r>
      <w:r w:rsidRPr="00AE31A2">
        <w:rPr>
          <w:sz w:val="24"/>
          <w:szCs w:val="24"/>
        </w:rPr>
        <w:t>realizado.</w:t>
      </w:r>
    </w:p>
    <w:p w:rsidR="00AE31A2" w:rsidRPr="00AE31A2" w:rsidRDefault="00AE31A2" w:rsidP="00AE31A2">
      <w:pPr>
        <w:pStyle w:val="PargrafodaLista"/>
        <w:rPr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30"/>
        </w:tabs>
        <w:autoSpaceDE w:val="0"/>
        <w:autoSpaceDN w:val="0"/>
        <w:spacing w:before="115" w:after="0" w:line="240" w:lineRule="auto"/>
        <w:ind w:left="284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O serviço que não tenha sido aceito pela avaliação da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 xml:space="preserve"> deverá ser</w:t>
      </w:r>
      <w:r w:rsidRPr="00AE31A2">
        <w:rPr>
          <w:spacing w:val="-4"/>
          <w:sz w:val="24"/>
          <w:szCs w:val="24"/>
        </w:rPr>
        <w:t xml:space="preserve"> </w:t>
      </w:r>
      <w:r w:rsidRPr="00AE31A2">
        <w:rPr>
          <w:sz w:val="24"/>
          <w:szCs w:val="24"/>
        </w:rPr>
        <w:t>refeito.</w:t>
      </w:r>
    </w:p>
    <w:p w:rsidR="00AE31A2" w:rsidRPr="00AE31A2" w:rsidRDefault="00AE31A2" w:rsidP="00AE31A2">
      <w:pPr>
        <w:pStyle w:val="Corpodetexto"/>
        <w:spacing w:before="1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32"/>
        </w:tabs>
        <w:autoSpaceDE w:val="0"/>
        <w:autoSpaceDN w:val="0"/>
        <w:spacing w:after="0" w:line="240" w:lineRule="auto"/>
        <w:ind w:left="284" w:right="104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Os serviços deverão ser executados preferencialmente nas instalações disponibilizadas pela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 Quando necessário, poderão ser executados na oficina da CONTRATADA, sob sua responsabilidade, correndo às suas expensas todo o traslado dos bens patrimoniais que constarem na Solicitação de</w:t>
      </w:r>
      <w:r w:rsidRPr="00AE31A2">
        <w:rPr>
          <w:spacing w:val="-4"/>
          <w:sz w:val="24"/>
          <w:szCs w:val="24"/>
        </w:rPr>
        <w:t xml:space="preserve"> </w:t>
      </w:r>
      <w:r w:rsidRPr="00AE31A2">
        <w:rPr>
          <w:sz w:val="24"/>
          <w:szCs w:val="24"/>
        </w:rPr>
        <w:t>Serviços.</w:t>
      </w:r>
    </w:p>
    <w:p w:rsidR="00AE31A2" w:rsidRPr="00AE31A2" w:rsidRDefault="00AE31A2" w:rsidP="00AE31A2">
      <w:pPr>
        <w:pStyle w:val="Corpodetexto"/>
        <w:spacing w:before="11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78"/>
        </w:tabs>
        <w:autoSpaceDE w:val="0"/>
        <w:autoSpaceDN w:val="0"/>
        <w:spacing w:after="0" w:line="242" w:lineRule="auto"/>
        <w:ind w:left="284" w:right="112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lastRenderedPageBreak/>
        <w:t xml:space="preserve">- A CONTRATADA só poderá retirar equipamentos para manutenção em suas instalações com autorização expressa da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, anotada na Solicitação de</w:t>
      </w:r>
      <w:r w:rsidRPr="00AE31A2">
        <w:rPr>
          <w:spacing w:val="2"/>
          <w:sz w:val="24"/>
          <w:szCs w:val="24"/>
        </w:rPr>
        <w:t xml:space="preserve"> </w:t>
      </w:r>
      <w:r w:rsidRPr="00AE31A2">
        <w:rPr>
          <w:sz w:val="24"/>
          <w:szCs w:val="24"/>
        </w:rPr>
        <w:t>Serviço.</w:t>
      </w:r>
    </w:p>
    <w:p w:rsidR="00AE31A2" w:rsidRPr="00AE31A2" w:rsidRDefault="00AE31A2" w:rsidP="00AE31A2">
      <w:pPr>
        <w:pStyle w:val="Corpodetexto"/>
        <w:spacing w:before="11"/>
        <w:ind w:left="284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42"/>
        </w:tabs>
        <w:autoSpaceDE w:val="0"/>
        <w:autoSpaceDN w:val="0"/>
        <w:spacing w:after="0" w:line="242" w:lineRule="auto"/>
        <w:ind w:left="284" w:right="109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- Os equipamentos em garantia não serão objeto de manutenção. Eles passarão automaticamente a fazer parte do acervo dos equipamentos objeto deste contrato, quando expirado o prazo de</w:t>
      </w:r>
      <w:r w:rsidRPr="00AE31A2">
        <w:rPr>
          <w:spacing w:val="-9"/>
          <w:sz w:val="24"/>
          <w:szCs w:val="24"/>
        </w:rPr>
        <w:t xml:space="preserve"> </w:t>
      </w:r>
      <w:r w:rsidRPr="00AE31A2">
        <w:rPr>
          <w:sz w:val="24"/>
          <w:szCs w:val="24"/>
        </w:rPr>
        <w:t>garantia.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39"/>
        </w:tabs>
        <w:autoSpaceDE w:val="0"/>
        <w:autoSpaceDN w:val="0"/>
        <w:spacing w:before="76" w:after="0" w:line="240" w:lineRule="auto"/>
        <w:ind w:left="284" w:right="105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>- A CONTRATADA deverá se preparar para dar manutenção em novos equipamentos que a SCPAR vier a adquirir como incremento do parque</w:t>
      </w:r>
      <w:r w:rsidRPr="00AE31A2">
        <w:rPr>
          <w:spacing w:val="-3"/>
          <w:sz w:val="24"/>
          <w:szCs w:val="24"/>
        </w:rPr>
        <w:t xml:space="preserve"> </w:t>
      </w:r>
      <w:r w:rsidRPr="00AE31A2">
        <w:rPr>
          <w:sz w:val="24"/>
          <w:szCs w:val="24"/>
        </w:rPr>
        <w:t>computacional.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75"/>
        </w:tabs>
        <w:autoSpaceDE w:val="0"/>
        <w:autoSpaceDN w:val="0"/>
        <w:spacing w:before="119" w:after="0" w:line="242" w:lineRule="auto"/>
        <w:ind w:left="284" w:right="105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O fornecimento dos serviços elétricos da rede predial de energia, bem como os insumos dos equipamentos, tais como disquetes, papeis, cartuchos, fitas, </w:t>
      </w:r>
      <w:proofErr w:type="spellStart"/>
      <w:r w:rsidRPr="00AE31A2">
        <w:rPr>
          <w:sz w:val="24"/>
          <w:szCs w:val="24"/>
        </w:rPr>
        <w:t>etc</w:t>
      </w:r>
      <w:proofErr w:type="spellEnd"/>
      <w:r w:rsidRPr="00AE31A2">
        <w:rPr>
          <w:sz w:val="24"/>
          <w:szCs w:val="24"/>
        </w:rPr>
        <w:t>, para efeito de permitir o funcionamento e teste dos equipamentos, serão fornecidos pela</w:t>
      </w:r>
      <w:r w:rsidRPr="00AE31A2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54"/>
        </w:tabs>
        <w:autoSpaceDE w:val="0"/>
        <w:autoSpaceDN w:val="0"/>
        <w:spacing w:before="114" w:after="0" w:line="240" w:lineRule="auto"/>
        <w:ind w:left="284" w:right="102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Nas hipóteses de retirada de qualquer equipamento, por prazo superior a 24 horas, e desde que autorizada pela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>, a CONTRATADA deverá colocar à disposição da unidade usuária um equipamento com as mesmas características ou</w:t>
      </w:r>
      <w:r w:rsidRPr="00AE31A2">
        <w:rPr>
          <w:spacing w:val="-4"/>
          <w:sz w:val="24"/>
          <w:szCs w:val="24"/>
        </w:rPr>
        <w:t xml:space="preserve"> </w:t>
      </w:r>
      <w:r w:rsidRPr="00AE31A2">
        <w:rPr>
          <w:sz w:val="24"/>
          <w:szCs w:val="24"/>
        </w:rPr>
        <w:t>superiores.</w:t>
      </w:r>
    </w:p>
    <w:p w:rsidR="00AE31A2" w:rsidRPr="00AE31A2" w:rsidRDefault="00AE31A2" w:rsidP="00AE31A2">
      <w:pPr>
        <w:pStyle w:val="PargrafodaLista"/>
        <w:widowControl w:val="0"/>
        <w:numPr>
          <w:ilvl w:val="2"/>
          <w:numId w:val="3"/>
        </w:numPr>
        <w:tabs>
          <w:tab w:val="left" w:pos="1392"/>
        </w:tabs>
        <w:autoSpaceDE w:val="0"/>
        <w:autoSpaceDN w:val="0"/>
        <w:spacing w:before="119" w:after="0" w:line="240" w:lineRule="auto"/>
        <w:ind w:left="284" w:right="107" w:firstLine="0"/>
        <w:contextualSpacing w:val="0"/>
        <w:jc w:val="both"/>
        <w:rPr>
          <w:sz w:val="24"/>
          <w:szCs w:val="24"/>
        </w:rPr>
      </w:pPr>
      <w:r w:rsidRPr="00AE31A2">
        <w:rPr>
          <w:sz w:val="24"/>
          <w:szCs w:val="24"/>
        </w:rPr>
        <w:t xml:space="preserve">- A empresa CONTRATADA deverá, também, registrar em formulário próprio, as intervenções realizadas, data da execução dos serviços, data de solicitação e de conclusão, responsável pela execução do serviço, </w:t>
      </w:r>
      <w:proofErr w:type="spellStart"/>
      <w:r w:rsidRPr="00AE31A2">
        <w:rPr>
          <w:sz w:val="24"/>
          <w:szCs w:val="24"/>
        </w:rPr>
        <w:t>etc</w:t>
      </w:r>
      <w:proofErr w:type="spellEnd"/>
      <w:r w:rsidRPr="00AE31A2">
        <w:rPr>
          <w:sz w:val="24"/>
          <w:szCs w:val="24"/>
        </w:rPr>
        <w:t xml:space="preserve">, de modo a possibilitar à </w:t>
      </w:r>
      <w:proofErr w:type="spellStart"/>
      <w:proofErr w:type="gramStart"/>
      <w:r w:rsidRPr="00AE31A2">
        <w:rPr>
          <w:sz w:val="24"/>
          <w:szCs w:val="24"/>
        </w:rPr>
        <w:t>SCPar</w:t>
      </w:r>
      <w:proofErr w:type="spellEnd"/>
      <w:proofErr w:type="gramEnd"/>
      <w:r w:rsidRPr="00AE31A2">
        <w:rPr>
          <w:sz w:val="24"/>
          <w:szCs w:val="24"/>
        </w:rPr>
        <w:t xml:space="preserve"> aferir o número mensal de intervenções, acompanhar e controlar e, também, facilitar a auditoria. O formulário de acompanhamento da CONTRATADA deve conter campos compatíveis com aqueles constantes da Solicitação de</w:t>
      </w:r>
      <w:r w:rsidRPr="00AE31A2">
        <w:rPr>
          <w:spacing w:val="7"/>
          <w:sz w:val="24"/>
          <w:szCs w:val="24"/>
        </w:rPr>
        <w:t xml:space="preserve"> </w:t>
      </w:r>
      <w:r w:rsidRPr="00AE31A2">
        <w:rPr>
          <w:sz w:val="24"/>
          <w:szCs w:val="24"/>
        </w:rPr>
        <w:t>Serviço.</w:t>
      </w:r>
    </w:p>
    <w:p w:rsidR="00AE31A2" w:rsidRPr="00AE31A2" w:rsidRDefault="00AE31A2" w:rsidP="00AE31A2">
      <w:pPr>
        <w:pStyle w:val="Corpodetexto"/>
        <w:ind w:left="284"/>
        <w:rPr>
          <w:rFonts w:asciiTheme="minorHAnsi" w:hAnsiTheme="minorHAnsi"/>
          <w:sz w:val="24"/>
          <w:szCs w:val="24"/>
        </w:rPr>
      </w:pPr>
    </w:p>
    <w:p w:rsidR="00AE31A2" w:rsidRDefault="00AE31A2" w:rsidP="00AE31A2">
      <w:pPr>
        <w:pStyle w:val="Corpodetexto"/>
        <w:rPr>
          <w:rFonts w:asciiTheme="minorHAnsi" w:hAnsiTheme="minorHAnsi"/>
          <w:sz w:val="24"/>
          <w:szCs w:val="24"/>
        </w:rPr>
      </w:pPr>
    </w:p>
    <w:p w:rsidR="00AE31A2" w:rsidRPr="00AE31A2" w:rsidRDefault="00AE31A2" w:rsidP="00AE31A2">
      <w:pPr>
        <w:pStyle w:val="Heading2"/>
        <w:numPr>
          <w:ilvl w:val="0"/>
          <w:numId w:val="3"/>
        </w:numPr>
        <w:tabs>
          <w:tab w:val="left" w:pos="574"/>
        </w:tabs>
        <w:ind w:left="573" w:hanging="362"/>
        <w:rPr>
          <w:rFonts w:asciiTheme="minorHAnsi" w:hAnsiTheme="minorHAnsi"/>
          <w:sz w:val="24"/>
          <w:szCs w:val="24"/>
        </w:rPr>
      </w:pPr>
      <w:r w:rsidRPr="00AE31A2">
        <w:rPr>
          <w:rFonts w:asciiTheme="minorHAnsi" w:hAnsiTheme="minorHAnsi"/>
          <w:sz w:val="24"/>
          <w:szCs w:val="24"/>
        </w:rPr>
        <w:t>- RELAÇÃO DOS EQUIPAMENTOS E</w:t>
      </w:r>
      <w:r w:rsidRPr="00AE31A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E31A2">
        <w:rPr>
          <w:rFonts w:asciiTheme="minorHAnsi" w:hAnsiTheme="minorHAnsi"/>
          <w:sz w:val="24"/>
          <w:szCs w:val="24"/>
        </w:rPr>
        <w:t>QUANTITATIVOS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5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114" w:type="dxa"/>
        <w:tblLayout w:type="fixed"/>
        <w:tblLook w:val="01E0"/>
      </w:tblPr>
      <w:tblGrid>
        <w:gridCol w:w="4285"/>
        <w:gridCol w:w="1204"/>
      </w:tblGrid>
      <w:tr w:rsidR="00AE31A2" w:rsidRPr="00AE31A2" w:rsidTr="00AE31A2">
        <w:trPr>
          <w:trHeight w:val="596"/>
          <w:jc w:val="center"/>
        </w:trPr>
        <w:tc>
          <w:tcPr>
            <w:tcW w:w="4285" w:type="dxa"/>
            <w:tcBorders>
              <w:top w:val="single" w:sz="8" w:space="0" w:color="000000"/>
              <w:bottom w:val="single" w:sz="8" w:space="0" w:color="000000"/>
            </w:tcBorders>
          </w:tcPr>
          <w:p w:rsidR="00AE31A2" w:rsidRPr="00AE31A2" w:rsidRDefault="00AE31A2" w:rsidP="00AE31A2">
            <w:pPr>
              <w:pStyle w:val="TableParagraph"/>
              <w:spacing w:before="54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EQUIPAMENTOS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8" w:space="0" w:color="000000"/>
            </w:tcBorders>
          </w:tcPr>
          <w:p w:rsidR="00AE31A2" w:rsidRPr="00AE31A2" w:rsidRDefault="00AE31A2" w:rsidP="006001EA">
            <w:pPr>
              <w:pStyle w:val="TableParagraph"/>
              <w:spacing w:before="0" w:line="224" w:lineRule="exact"/>
              <w:ind w:right="319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QTD</w:t>
            </w:r>
          </w:p>
        </w:tc>
      </w:tr>
      <w:tr w:rsidR="00AE31A2" w:rsidRPr="00AE31A2" w:rsidTr="00AE31A2">
        <w:trPr>
          <w:trHeight w:val="409"/>
          <w:jc w:val="center"/>
        </w:trPr>
        <w:tc>
          <w:tcPr>
            <w:tcW w:w="4285" w:type="dxa"/>
            <w:tcBorders>
              <w:top w:val="single" w:sz="8" w:space="0" w:color="000000"/>
            </w:tcBorders>
            <w:shd w:val="clear" w:color="auto" w:fill="C0C0C0"/>
          </w:tcPr>
          <w:p w:rsidR="00AE31A2" w:rsidRPr="00AE31A2" w:rsidRDefault="00AE31A2" w:rsidP="00AE31A2">
            <w:pPr>
              <w:pStyle w:val="TableParagraph"/>
              <w:spacing w:before="54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MICROCOMPUTADORES (CPU)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C0C0C0"/>
          </w:tcPr>
          <w:p w:rsidR="00AE31A2" w:rsidRPr="00AE31A2" w:rsidRDefault="00AE31A2" w:rsidP="006001EA">
            <w:pPr>
              <w:pStyle w:val="TableParagraph"/>
              <w:spacing w:before="57"/>
              <w:ind w:right="28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5"/>
                <w:sz w:val="24"/>
                <w:szCs w:val="24"/>
              </w:rPr>
              <w:t>45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IMPRESSORA A LASER</w:t>
            </w:r>
          </w:p>
        </w:tc>
        <w:tc>
          <w:tcPr>
            <w:tcW w:w="1204" w:type="dxa"/>
          </w:tcPr>
          <w:p w:rsidR="00AE31A2" w:rsidRPr="00AE31A2" w:rsidRDefault="005306D9" w:rsidP="006001EA">
            <w:pPr>
              <w:pStyle w:val="TableParagraph"/>
              <w:spacing w:before="5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  <w:shd w:val="clear" w:color="auto" w:fill="C0C0C0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MONITOR</w:t>
            </w:r>
          </w:p>
        </w:tc>
        <w:tc>
          <w:tcPr>
            <w:tcW w:w="1204" w:type="dxa"/>
            <w:shd w:val="clear" w:color="auto" w:fill="C0C0C0"/>
          </w:tcPr>
          <w:p w:rsidR="00AE31A2" w:rsidRPr="00AE31A2" w:rsidRDefault="00AE31A2" w:rsidP="006001EA">
            <w:pPr>
              <w:pStyle w:val="TableParagraph"/>
              <w:spacing w:before="57"/>
              <w:ind w:right="28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5"/>
                <w:sz w:val="24"/>
                <w:szCs w:val="24"/>
              </w:rPr>
              <w:t>45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NOBREAK/ESTABILIZADORES</w:t>
            </w:r>
          </w:p>
        </w:tc>
        <w:tc>
          <w:tcPr>
            <w:tcW w:w="1204" w:type="dxa"/>
          </w:tcPr>
          <w:p w:rsidR="00AE31A2" w:rsidRPr="00AE31A2" w:rsidRDefault="00AE31A2" w:rsidP="006001EA">
            <w:pPr>
              <w:pStyle w:val="TableParagraph"/>
              <w:spacing w:before="57"/>
              <w:ind w:right="28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5"/>
                <w:sz w:val="24"/>
                <w:szCs w:val="24"/>
              </w:rPr>
              <w:t>10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  <w:shd w:val="clear" w:color="auto" w:fill="C0C0C0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SCANNER</w:t>
            </w:r>
          </w:p>
        </w:tc>
        <w:tc>
          <w:tcPr>
            <w:tcW w:w="1204" w:type="dxa"/>
            <w:shd w:val="clear" w:color="auto" w:fill="C0C0C0"/>
          </w:tcPr>
          <w:p w:rsidR="00AE31A2" w:rsidRPr="00AE31A2" w:rsidRDefault="00AE31A2" w:rsidP="006001EA">
            <w:pPr>
              <w:pStyle w:val="TableParagraph"/>
              <w:spacing w:before="5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AE31A2" w:rsidRPr="00AE31A2" w:rsidTr="00AE31A2">
        <w:trPr>
          <w:trHeight w:val="408"/>
          <w:jc w:val="center"/>
        </w:trPr>
        <w:tc>
          <w:tcPr>
            <w:tcW w:w="4285" w:type="dxa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NOTEBOOK</w:t>
            </w:r>
          </w:p>
        </w:tc>
        <w:tc>
          <w:tcPr>
            <w:tcW w:w="1204" w:type="dxa"/>
          </w:tcPr>
          <w:p w:rsidR="00AE31A2" w:rsidRPr="00AE31A2" w:rsidRDefault="00AE31A2" w:rsidP="006001EA">
            <w:pPr>
              <w:pStyle w:val="TableParagraph"/>
              <w:spacing w:before="5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  <w:shd w:val="clear" w:color="auto" w:fill="C0C0C0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SERVIDOR</w:t>
            </w:r>
          </w:p>
        </w:tc>
        <w:tc>
          <w:tcPr>
            <w:tcW w:w="1204" w:type="dxa"/>
            <w:shd w:val="clear" w:color="auto" w:fill="C0C0C0"/>
          </w:tcPr>
          <w:p w:rsidR="00AE31A2" w:rsidRPr="00AE31A2" w:rsidRDefault="00AE31A2" w:rsidP="006001EA">
            <w:pPr>
              <w:pStyle w:val="TableParagraph"/>
              <w:spacing w:before="5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1204" w:type="dxa"/>
          </w:tcPr>
          <w:p w:rsidR="00AE31A2" w:rsidRPr="00AE31A2" w:rsidRDefault="00AE31A2" w:rsidP="006001EA">
            <w:pPr>
              <w:pStyle w:val="TableParagraph"/>
              <w:spacing w:before="5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AE31A2" w:rsidRPr="00AE31A2" w:rsidTr="00AE31A2">
        <w:trPr>
          <w:trHeight w:val="410"/>
          <w:jc w:val="center"/>
        </w:trPr>
        <w:tc>
          <w:tcPr>
            <w:tcW w:w="4285" w:type="dxa"/>
            <w:tcBorders>
              <w:bottom w:val="single" w:sz="8" w:space="0" w:color="000000"/>
            </w:tcBorders>
            <w:shd w:val="clear" w:color="auto" w:fill="C0C0C0"/>
          </w:tcPr>
          <w:p w:rsidR="00AE31A2" w:rsidRPr="00AE31A2" w:rsidRDefault="00AE31A2" w:rsidP="00AE31A2">
            <w:pPr>
              <w:pStyle w:val="TableParagraph"/>
              <w:ind w:right="-1271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  <w:shd w:val="clear" w:color="auto" w:fill="C0C0C0"/>
          </w:tcPr>
          <w:p w:rsidR="00AE31A2" w:rsidRPr="00AE31A2" w:rsidRDefault="00AE31A2" w:rsidP="005306D9">
            <w:pPr>
              <w:pStyle w:val="TableParagraph"/>
              <w:ind w:right="28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w w:val="95"/>
                <w:sz w:val="24"/>
                <w:szCs w:val="24"/>
              </w:rPr>
              <w:t>6</w:t>
            </w:r>
            <w:r w:rsidR="005306D9">
              <w:rPr>
                <w:rFonts w:asciiTheme="minorHAnsi" w:hAnsiTheme="minorHAnsi"/>
                <w:b/>
                <w:w w:val="95"/>
                <w:sz w:val="24"/>
                <w:szCs w:val="24"/>
              </w:rPr>
              <w:t>6</w:t>
            </w:r>
          </w:p>
        </w:tc>
      </w:tr>
    </w:tbl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spacing w:before="92"/>
        <w:ind w:left="284" w:right="140"/>
        <w:jc w:val="right"/>
        <w:rPr>
          <w:b/>
          <w:sz w:val="24"/>
          <w:szCs w:val="24"/>
        </w:rPr>
      </w:pPr>
      <w:r w:rsidRPr="00AE31A2">
        <w:rPr>
          <w:b/>
          <w:sz w:val="24"/>
          <w:szCs w:val="24"/>
        </w:rPr>
        <w:lastRenderedPageBreak/>
        <w:t>Florianópolis, 09 de novembro de 2020.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7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PargrafodaLista"/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spacing w:after="0" w:line="240" w:lineRule="auto"/>
        <w:ind w:hanging="278"/>
        <w:contextualSpacing w:val="0"/>
        <w:rPr>
          <w:b/>
          <w:sz w:val="24"/>
          <w:szCs w:val="24"/>
        </w:rPr>
      </w:pPr>
      <w:r w:rsidRPr="00AE31A2">
        <w:rPr>
          <w:b/>
          <w:sz w:val="24"/>
          <w:szCs w:val="24"/>
        </w:rPr>
        <w:t>–</w:t>
      </w:r>
      <w:r w:rsidRPr="00AE31A2">
        <w:rPr>
          <w:b/>
          <w:spacing w:val="3"/>
          <w:sz w:val="24"/>
          <w:szCs w:val="24"/>
        </w:rPr>
        <w:t xml:space="preserve"> </w:t>
      </w:r>
      <w:r w:rsidRPr="00AE31A2">
        <w:rPr>
          <w:b/>
          <w:sz w:val="24"/>
          <w:szCs w:val="24"/>
        </w:rPr>
        <w:t>ASSINATURAS</w:t>
      </w: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rPr>
          <w:rFonts w:asciiTheme="minorHAnsi" w:hAnsiTheme="minorHAnsi"/>
          <w:b/>
          <w:sz w:val="24"/>
          <w:szCs w:val="24"/>
        </w:rPr>
      </w:pPr>
    </w:p>
    <w:p w:rsidR="00AE31A2" w:rsidRPr="00AE31A2" w:rsidRDefault="00AE31A2" w:rsidP="00AE31A2">
      <w:pPr>
        <w:pStyle w:val="Corpodetexto"/>
        <w:spacing w:before="8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tblInd w:w="2473" w:type="dxa"/>
        <w:tblLayout w:type="fixed"/>
        <w:tblLook w:val="01E0"/>
      </w:tblPr>
      <w:tblGrid>
        <w:gridCol w:w="3065"/>
        <w:gridCol w:w="2309"/>
      </w:tblGrid>
      <w:tr w:rsidR="00AE31A2" w:rsidRPr="00AE31A2" w:rsidTr="006001EA">
        <w:trPr>
          <w:trHeight w:val="450"/>
        </w:trPr>
        <w:tc>
          <w:tcPr>
            <w:tcW w:w="3065" w:type="dxa"/>
          </w:tcPr>
          <w:p w:rsidR="00AE31A2" w:rsidRPr="00AE31A2" w:rsidRDefault="00AE31A2" w:rsidP="00AE31A2">
            <w:pPr>
              <w:pStyle w:val="TableParagraph"/>
              <w:spacing w:before="0" w:line="222" w:lineRule="exact"/>
              <w:ind w:left="180" w:right="665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sz w:val="24"/>
                <w:szCs w:val="24"/>
              </w:rPr>
              <w:t>Elaboração</w:t>
            </w:r>
          </w:p>
          <w:p w:rsidR="00AE31A2" w:rsidRPr="00AE31A2" w:rsidRDefault="00AE31A2" w:rsidP="00AE31A2">
            <w:pPr>
              <w:pStyle w:val="TableParagraph"/>
              <w:spacing w:before="0" w:line="209" w:lineRule="exact"/>
              <w:ind w:left="180" w:right="666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Diego da Rocha Piazza</w:t>
            </w:r>
          </w:p>
        </w:tc>
        <w:tc>
          <w:tcPr>
            <w:tcW w:w="2309" w:type="dxa"/>
          </w:tcPr>
          <w:p w:rsidR="00AE31A2" w:rsidRPr="00AE31A2" w:rsidRDefault="00AE31A2" w:rsidP="00AE31A2">
            <w:pPr>
              <w:pStyle w:val="TableParagraph"/>
              <w:spacing w:before="0" w:line="222" w:lineRule="exact"/>
              <w:ind w:left="666" w:right="175"/>
              <w:rPr>
                <w:rFonts w:asciiTheme="minorHAnsi" w:hAnsiTheme="minorHAnsi"/>
                <w:sz w:val="24"/>
                <w:szCs w:val="24"/>
              </w:rPr>
            </w:pPr>
            <w:r w:rsidRPr="00AE31A2">
              <w:rPr>
                <w:rFonts w:asciiTheme="minorHAnsi" w:hAnsiTheme="minorHAnsi"/>
                <w:sz w:val="24"/>
                <w:szCs w:val="24"/>
              </w:rPr>
              <w:t>Coordenador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AE31A2" w:rsidRPr="00AE31A2" w:rsidRDefault="00AE31A2" w:rsidP="00AE31A2">
            <w:pPr>
              <w:pStyle w:val="TableParagraph"/>
              <w:spacing w:before="0" w:line="209" w:lineRule="exact"/>
              <w:ind w:left="666" w:righ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AE31A2">
              <w:rPr>
                <w:rFonts w:asciiTheme="minorHAnsi" w:hAnsiTheme="minorHAnsi"/>
                <w:b/>
                <w:sz w:val="24"/>
                <w:szCs w:val="24"/>
              </w:rPr>
              <w:t>Gisele de Faria</w:t>
            </w:r>
          </w:p>
        </w:tc>
      </w:tr>
    </w:tbl>
    <w:p w:rsidR="00AE31A2" w:rsidRPr="00AE31A2" w:rsidRDefault="00AE31A2" w:rsidP="00AE31A2">
      <w:pPr>
        <w:jc w:val="center"/>
        <w:rPr>
          <w:sz w:val="24"/>
          <w:szCs w:val="24"/>
        </w:rPr>
      </w:pPr>
    </w:p>
    <w:p w:rsidR="005C64EE" w:rsidRPr="00AE31A2" w:rsidRDefault="005C64EE" w:rsidP="005C64EE">
      <w:pPr>
        <w:spacing w:after="0" w:line="360" w:lineRule="auto"/>
        <w:jc w:val="both"/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</w:pPr>
      <w:r w:rsidRPr="00AE31A2"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  <w:t xml:space="preserve"> </w:t>
      </w:r>
    </w:p>
    <w:p w:rsidR="005C64EE" w:rsidRPr="00AE31A2" w:rsidRDefault="005C64EE" w:rsidP="005C64EE">
      <w:pPr>
        <w:spacing w:after="0" w:line="360" w:lineRule="auto"/>
        <w:ind w:firstLine="2268"/>
        <w:jc w:val="both"/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</w:pPr>
    </w:p>
    <w:p w:rsidR="005C64EE" w:rsidRPr="00AE31A2" w:rsidRDefault="005C64EE" w:rsidP="005C64EE">
      <w:pPr>
        <w:spacing w:after="0" w:line="360" w:lineRule="auto"/>
        <w:jc w:val="both"/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</w:pPr>
      <w:r w:rsidRPr="00AE31A2"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  <w:t xml:space="preserve"> </w:t>
      </w:r>
    </w:p>
    <w:p w:rsidR="005C64EE" w:rsidRPr="00AE31A2" w:rsidRDefault="005C64EE" w:rsidP="005C64EE">
      <w:pPr>
        <w:spacing w:after="0" w:line="360" w:lineRule="auto"/>
        <w:jc w:val="both"/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</w:pPr>
      <w:r w:rsidRPr="00AE31A2"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  <w:t xml:space="preserve"> </w:t>
      </w:r>
    </w:p>
    <w:p w:rsidR="00F06EF2" w:rsidRPr="00AE31A2" w:rsidRDefault="005C64EE" w:rsidP="002D3B6A">
      <w:pPr>
        <w:spacing w:after="0" w:line="360" w:lineRule="auto"/>
        <w:jc w:val="both"/>
        <w:rPr>
          <w:rFonts w:cs="Tahoma"/>
          <w:color w:val="1F4E79" w:themeColor="accent1" w:themeShade="80"/>
          <w:sz w:val="24"/>
          <w:szCs w:val="24"/>
        </w:rPr>
      </w:pPr>
      <w:r w:rsidRPr="00AE31A2">
        <w:rPr>
          <w:rFonts w:eastAsiaTheme="minorEastAsia" w:cs="Tahoma"/>
          <w:color w:val="1F4E79" w:themeColor="accent1" w:themeShade="80"/>
          <w:sz w:val="24"/>
          <w:szCs w:val="24"/>
          <w:lang w:eastAsia="pt-BR"/>
        </w:rPr>
        <w:t xml:space="preserve"> </w:t>
      </w:r>
    </w:p>
    <w:sectPr w:rsidR="00F06EF2" w:rsidRPr="00AE31A2" w:rsidSect="00B065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D8" w:rsidRDefault="009248D8" w:rsidP="00DC4FC8">
      <w:pPr>
        <w:spacing w:after="0" w:line="240" w:lineRule="auto"/>
      </w:pPr>
      <w:r>
        <w:separator/>
      </w:r>
    </w:p>
  </w:endnote>
  <w:endnote w:type="continuationSeparator" w:id="0">
    <w:p w:rsidR="009248D8" w:rsidRDefault="009248D8" w:rsidP="00D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8" w:rsidRDefault="00DC4F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553325" cy="86333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PAR-TIMBRADO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63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D8" w:rsidRDefault="009248D8" w:rsidP="00DC4FC8">
      <w:pPr>
        <w:spacing w:after="0" w:line="240" w:lineRule="auto"/>
      </w:pPr>
      <w:r>
        <w:separator/>
      </w:r>
    </w:p>
  </w:footnote>
  <w:footnote w:type="continuationSeparator" w:id="0">
    <w:p w:rsidR="009248D8" w:rsidRDefault="009248D8" w:rsidP="00D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8" w:rsidRDefault="00DC4F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2733675</wp:posOffset>
          </wp:positionH>
          <wp:positionV relativeFrom="paragraph">
            <wp:posOffset>-430530</wp:posOffset>
          </wp:positionV>
          <wp:extent cx="4796155" cy="85725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PAR-TIMBRAD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15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B38"/>
    <w:multiLevelType w:val="hybridMultilevel"/>
    <w:tmpl w:val="AD647C92"/>
    <w:lvl w:ilvl="0" w:tplc="A51E07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C54FF"/>
    <w:multiLevelType w:val="hybridMultilevel"/>
    <w:tmpl w:val="3BC2CBAA"/>
    <w:lvl w:ilvl="0" w:tplc="64E6451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6101D"/>
    <w:multiLevelType w:val="multilevel"/>
    <w:tmpl w:val="49BACB42"/>
    <w:lvl w:ilvl="0">
      <w:start w:val="1"/>
      <w:numFmt w:val="decimalZero"/>
      <w:lvlText w:val="%1"/>
      <w:lvlJc w:val="left"/>
      <w:pPr>
        <w:ind w:left="489" w:hanging="27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767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33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760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37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5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33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0" w:hanging="72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167E"/>
    <w:rsid w:val="0001515D"/>
    <w:rsid w:val="000423DC"/>
    <w:rsid w:val="00060234"/>
    <w:rsid w:val="00091EEE"/>
    <w:rsid w:val="000A6037"/>
    <w:rsid w:val="000C6CA5"/>
    <w:rsid w:val="000E72A4"/>
    <w:rsid w:val="000F5E6E"/>
    <w:rsid w:val="001245BD"/>
    <w:rsid w:val="001651E8"/>
    <w:rsid w:val="00183098"/>
    <w:rsid w:val="00184F70"/>
    <w:rsid w:val="001901EE"/>
    <w:rsid w:val="001A1D41"/>
    <w:rsid w:val="001C78D1"/>
    <w:rsid w:val="001D31B7"/>
    <w:rsid w:val="00225DF5"/>
    <w:rsid w:val="00241B4B"/>
    <w:rsid w:val="00266597"/>
    <w:rsid w:val="00273B69"/>
    <w:rsid w:val="002813FF"/>
    <w:rsid w:val="00290F57"/>
    <w:rsid w:val="002922E7"/>
    <w:rsid w:val="002A11DE"/>
    <w:rsid w:val="002C26B0"/>
    <w:rsid w:val="002D23A8"/>
    <w:rsid w:val="002D3B6A"/>
    <w:rsid w:val="002F0A8F"/>
    <w:rsid w:val="00320BD7"/>
    <w:rsid w:val="00327658"/>
    <w:rsid w:val="00356BE2"/>
    <w:rsid w:val="00395A96"/>
    <w:rsid w:val="003B7DC7"/>
    <w:rsid w:val="0042713B"/>
    <w:rsid w:val="0045447E"/>
    <w:rsid w:val="00467860"/>
    <w:rsid w:val="00474EDE"/>
    <w:rsid w:val="004F374C"/>
    <w:rsid w:val="00523939"/>
    <w:rsid w:val="005306D9"/>
    <w:rsid w:val="00537CE3"/>
    <w:rsid w:val="005C64EE"/>
    <w:rsid w:val="00662306"/>
    <w:rsid w:val="00691F68"/>
    <w:rsid w:val="00697DA8"/>
    <w:rsid w:val="006D4C8A"/>
    <w:rsid w:val="00725304"/>
    <w:rsid w:val="00726CA2"/>
    <w:rsid w:val="00790468"/>
    <w:rsid w:val="007A3BAC"/>
    <w:rsid w:val="007D7903"/>
    <w:rsid w:val="00812E91"/>
    <w:rsid w:val="00815C82"/>
    <w:rsid w:val="00851C8F"/>
    <w:rsid w:val="00863F04"/>
    <w:rsid w:val="008718C0"/>
    <w:rsid w:val="00892889"/>
    <w:rsid w:val="0089610F"/>
    <w:rsid w:val="008B0FCB"/>
    <w:rsid w:val="008D35F7"/>
    <w:rsid w:val="008E1420"/>
    <w:rsid w:val="008E450F"/>
    <w:rsid w:val="009248D8"/>
    <w:rsid w:val="009465D0"/>
    <w:rsid w:val="009D4BA3"/>
    <w:rsid w:val="00A033FD"/>
    <w:rsid w:val="00A12B4E"/>
    <w:rsid w:val="00A50B5D"/>
    <w:rsid w:val="00A91B0A"/>
    <w:rsid w:val="00AB33F0"/>
    <w:rsid w:val="00AE31A2"/>
    <w:rsid w:val="00AF249C"/>
    <w:rsid w:val="00B065E2"/>
    <w:rsid w:val="00B22534"/>
    <w:rsid w:val="00B92AA9"/>
    <w:rsid w:val="00BF79AF"/>
    <w:rsid w:val="00C27DAB"/>
    <w:rsid w:val="00C371E9"/>
    <w:rsid w:val="00C41262"/>
    <w:rsid w:val="00C71994"/>
    <w:rsid w:val="00C7423A"/>
    <w:rsid w:val="00C74D09"/>
    <w:rsid w:val="00C774E7"/>
    <w:rsid w:val="00C90F57"/>
    <w:rsid w:val="00C93D24"/>
    <w:rsid w:val="00CD34AC"/>
    <w:rsid w:val="00CF1971"/>
    <w:rsid w:val="00D11EE7"/>
    <w:rsid w:val="00D210B8"/>
    <w:rsid w:val="00D45D8B"/>
    <w:rsid w:val="00D50E26"/>
    <w:rsid w:val="00D54211"/>
    <w:rsid w:val="00D8283D"/>
    <w:rsid w:val="00DB6FD0"/>
    <w:rsid w:val="00DC4FC8"/>
    <w:rsid w:val="00DE3B63"/>
    <w:rsid w:val="00E114FA"/>
    <w:rsid w:val="00E145AA"/>
    <w:rsid w:val="00E3167E"/>
    <w:rsid w:val="00E44BA8"/>
    <w:rsid w:val="00E52A7B"/>
    <w:rsid w:val="00E904EF"/>
    <w:rsid w:val="00EB0E9C"/>
    <w:rsid w:val="00EB6641"/>
    <w:rsid w:val="00EC1C62"/>
    <w:rsid w:val="00ED03E2"/>
    <w:rsid w:val="00EE55CD"/>
    <w:rsid w:val="00F04019"/>
    <w:rsid w:val="00F06EF2"/>
    <w:rsid w:val="00F2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styleId="NormalWeb">
    <w:name w:val="Normal (Web)"/>
    <w:basedOn w:val="Normal"/>
    <w:uiPriority w:val="99"/>
    <w:unhideWhenUsed/>
    <w:rsid w:val="00F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3F04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271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E3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31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31A2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AE31A2"/>
    <w:pPr>
      <w:widowControl w:val="0"/>
      <w:autoSpaceDE w:val="0"/>
      <w:autoSpaceDN w:val="0"/>
      <w:spacing w:after="0" w:line="240" w:lineRule="auto"/>
      <w:ind w:left="1377" w:hanging="586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AE31A2"/>
    <w:pPr>
      <w:widowControl w:val="0"/>
      <w:autoSpaceDE w:val="0"/>
      <w:autoSpaceDN w:val="0"/>
      <w:spacing w:after="0" w:line="240" w:lineRule="auto"/>
      <w:ind w:left="489" w:hanging="556"/>
      <w:outlineLvl w:val="2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E31A2"/>
    <w:pPr>
      <w:widowControl w:val="0"/>
      <w:autoSpaceDE w:val="0"/>
      <w:autoSpaceDN w:val="0"/>
      <w:spacing w:before="55" w:after="0" w:line="240" w:lineRule="auto"/>
      <w:ind w:right="335"/>
      <w:jc w:val="center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RH-SCPAR</cp:lastModifiedBy>
  <cp:revision>3</cp:revision>
  <cp:lastPrinted>2020-08-11T17:08:00Z</cp:lastPrinted>
  <dcterms:created xsi:type="dcterms:W3CDTF">2020-11-09T19:23:00Z</dcterms:created>
  <dcterms:modified xsi:type="dcterms:W3CDTF">2020-11-09T19:23:00Z</dcterms:modified>
</cp:coreProperties>
</file>