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FF6932">
      <w:pPr>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7286B" w:rsidRDefault="006A2EAB" w:rsidP="00B40EBB">
            <w:pPr>
              <w:tabs>
                <w:tab w:val="left" w:pos="426"/>
              </w:tabs>
              <w:ind w:firstLine="34"/>
              <w:jc w:val="both"/>
              <w:rPr>
                <w:rFonts w:ascii="Times New Roman" w:hAnsi="Times New Roman" w:cs="Times New Roman"/>
                <w:bCs/>
                <w:iCs/>
              </w:rPr>
            </w:pPr>
            <w:r w:rsidRPr="006A2EAB">
              <w:rPr>
                <w:rStyle w:val="nfaseIntensa"/>
                <w:rFonts w:ascii="Times New Roman" w:hAnsi="Times New Roman" w:cs="Times New Roman"/>
                <w:sz w:val="22"/>
              </w:rPr>
              <w:t xml:space="preserve">Contratação de operadora de plano de assistência médica, hospitalar, compreendendo os serviços clínicos e cirúrgicos, ambulatoriais, laboratoriais, internação clínica, cirúrgica e obstétrica, por meio de médicos, hospitais e outros serviços auxiliares de diagnósticos e terapia, </w:t>
            </w:r>
            <w:r w:rsidR="00B40EBB">
              <w:rPr>
                <w:rStyle w:val="nfaseIntensa"/>
                <w:rFonts w:ascii="Times New Roman" w:hAnsi="Times New Roman" w:cs="Times New Roman"/>
                <w:sz w:val="22"/>
              </w:rPr>
              <w:t>sendo</w:t>
            </w:r>
            <w:r w:rsidR="00EA5429">
              <w:rPr>
                <w:rStyle w:val="nfaseIntensa"/>
                <w:rFonts w:ascii="Times New Roman" w:hAnsi="Times New Roman" w:cs="Times New Roman"/>
                <w:sz w:val="22"/>
              </w:rPr>
              <w:t xml:space="preserve"> </w:t>
            </w:r>
            <w:r w:rsidR="00EA5429" w:rsidRPr="00EA5429">
              <w:rPr>
                <w:rFonts w:ascii="Times New Roman" w:hAnsi="Times New Roman" w:cs="Times New Roman"/>
              </w:rPr>
              <w:t>beneficiários</w:t>
            </w:r>
            <w:r w:rsidR="00EA5429">
              <w:rPr>
                <w:rFonts w:ascii="Times New Roman" w:hAnsi="Times New Roman" w:cs="Times New Roman"/>
              </w:rPr>
              <w:t xml:space="preserve"> </w:t>
            </w:r>
            <w:r w:rsidR="00EA5429" w:rsidRPr="00EA5429">
              <w:rPr>
                <w:rFonts w:ascii="Times New Roman" w:hAnsi="Times New Roman" w:cs="Times New Roman"/>
              </w:rPr>
              <w:t>os diretores e empregados da SC Participações e Parcerias S.A. – SCPar, bem como seus dependentes legais</w:t>
            </w:r>
            <w:r w:rsidR="00B40EBB">
              <w:rPr>
                <w:rFonts w:ascii="Times New Roman" w:hAnsi="Times New Roman" w:cs="Times New Roman"/>
              </w:rPr>
              <w:t>,</w:t>
            </w:r>
            <w:r w:rsidR="00EA5429" w:rsidRPr="006A2EAB">
              <w:rPr>
                <w:rStyle w:val="nfaseIntensa"/>
                <w:rFonts w:ascii="Times New Roman" w:hAnsi="Times New Roman" w:cs="Times New Roman"/>
                <w:sz w:val="22"/>
              </w:rPr>
              <w:t xml:space="preserve"> </w:t>
            </w:r>
            <w:r w:rsidRPr="006A2EAB">
              <w:rPr>
                <w:rStyle w:val="nfaseIntensa"/>
                <w:rFonts w:ascii="Times New Roman" w:hAnsi="Times New Roman" w:cs="Times New Roman"/>
                <w:sz w:val="22"/>
              </w:rPr>
              <w:t>em conformidade com a Lei Federal nº 9.656/98 e demais resoluções governamentais, pelo prazo de 24 meses, podendo ser prorrogado por até 60 meses, em todo o território nacional (Plano Nacional).</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229"/>
        </w:trPr>
        <w:tc>
          <w:tcPr>
            <w:tcW w:w="9781" w:type="dxa"/>
            <w:shd w:val="clear" w:color="auto" w:fill="auto"/>
          </w:tcPr>
          <w:p w:rsidR="0020317A" w:rsidRDefault="00996E46" w:rsidP="00FF6932">
            <w:pPr>
              <w:jc w:val="both"/>
              <w:rPr>
                <w:rFonts w:ascii="Times New Roman" w:hAnsi="Times New Roman" w:cs="Times New Roman"/>
              </w:rPr>
            </w:pPr>
            <w:r>
              <w:rPr>
                <w:rFonts w:ascii="Times New Roman" w:hAnsi="Times New Roman" w:cs="Times New Roman"/>
              </w:rPr>
              <w:t xml:space="preserve"> </w:t>
            </w:r>
            <w:r w:rsidR="00F91A32" w:rsidRPr="00996E46">
              <w:rPr>
                <w:rFonts w:ascii="Times New Roman" w:hAnsi="Times New Roman" w:cs="Times New Roman"/>
              </w:rPr>
              <w:t xml:space="preserve">2.1 </w:t>
            </w:r>
            <w:r w:rsidR="000A49BD" w:rsidRPr="00996E46">
              <w:rPr>
                <w:rFonts w:ascii="Times New Roman" w:hAnsi="Times New Roman" w:cs="Times New Roman"/>
              </w:rPr>
              <w:t>Conforme Anexo I.</w:t>
            </w:r>
          </w:p>
          <w:p w:rsidR="00C454A1" w:rsidRPr="00EA5429" w:rsidRDefault="00F91A32" w:rsidP="00C454A1">
            <w:pPr>
              <w:jc w:val="both"/>
              <w:rPr>
                <w:rFonts w:ascii="Times New Roman" w:hAnsi="Times New Roman" w:cs="Times New Roman"/>
              </w:rPr>
            </w:pPr>
            <w:r>
              <w:rPr>
                <w:rFonts w:ascii="Times New Roman" w:hAnsi="Times New Roman" w:cs="Times New Roman"/>
              </w:rPr>
              <w:t xml:space="preserve"> 2.2 </w:t>
            </w:r>
            <w:r w:rsidR="00C454A1" w:rsidRPr="00EA5429">
              <w:rPr>
                <w:rFonts w:ascii="Times New Roman" w:hAnsi="Times New Roman" w:cs="Times New Roman"/>
              </w:rPr>
              <w:t>Prestação de assistência médica, hospitalar e obstetrícia, ambulatorial e laboratorial em nível nacional, em todas as especialidades reconhecidas pelo Conselho Federal de Medicina, e demais órgãos fiscalizadores do exercício profissional, que estejam</w:t>
            </w:r>
            <w:r w:rsidR="00EA5429" w:rsidRPr="00EA5429">
              <w:rPr>
                <w:rFonts w:ascii="Times New Roman" w:hAnsi="Times New Roman" w:cs="Times New Roman"/>
              </w:rPr>
              <w:t xml:space="preserve"> </w:t>
            </w:r>
            <w:r w:rsidR="00C454A1" w:rsidRPr="00EA5429">
              <w:rPr>
                <w:rFonts w:ascii="Times New Roman" w:hAnsi="Times New Roman" w:cs="Times New Roman"/>
              </w:rPr>
              <w:t>previstas neste Termo de Referência, e qualquer procedimento clínico e cirúrgico com os respectivos exames complementares de diagnóstico necessários para o pleno desempenho das especialidades abaixo elencadas: 1.Acupuntura; 2.Alergia e Imunologia; 3.Anestesiologia; 4.Angiologia; 5.Cancerologia; 6.Cardiologia e Cirurgia Cardiovascular; 7.Cirurgia de Cabeça e Pescoço; 8.Cirurgia da Mão; 9.Cirurgia do Aparelho Digestivo; 10.Cirurgia Geral inclusive vídeo-laparoscópica; 11.Cirurgia Pediátrica; 12.Cirurgia Plástica reparadora e restauradora de função; 13.Cirurgia Torácica; 14.Cirurgia Vascular; 15.Clínica Médica 16.Dermatologia; 17.Endocrinologia e Metabologia 18.Endoscopia; 19.Fisiatria; 21.Fisioterapia; 22.Fonoaudiologia; 23.Gastroenterologia; 24.Geriatria; 25.Ginecologia e Obstetrícia; 26.Hematologia; 27.Hemoterapia; 28.Histopatologia; 29.Infectologia; 30.Mastologia; 31.Medicina Intensiva; 32.Medicina Nuclear; 33.Medicina Preventiva; 34.Medicina do Trabalho; 35.Medicina Física e Reabilitação 36.Nefrologia (inclusive Litotripsia); 37.Neurocirurgia; 38.Neurologia 39.Nutrologia; 40.Oftalmologia; 41.Ortopedia e Traumatologia; 42.Otorrinolaringologia; 43.Patologia Clinica/Medicina Laboratorial; 44.Pediatria; 45.Pneumologia; 46.Proctologia; 47.Psicologia; 48.Psiquiatria; 49.Radiologia; 50.Radioterapia; 51.Reumatologia; 52.Terapia Ocupacional; 53.Urologia.</w:t>
            </w:r>
          </w:p>
          <w:p w:rsidR="00EA5429" w:rsidRDefault="00EA5429" w:rsidP="00EA5429">
            <w:pPr>
              <w:jc w:val="both"/>
              <w:rPr>
                <w:rFonts w:ascii="Times New Roman" w:hAnsi="Times New Roman" w:cs="Times New Roman"/>
              </w:rPr>
            </w:pPr>
          </w:p>
          <w:p w:rsidR="00EA5429" w:rsidRPr="00EA5429" w:rsidRDefault="00F91A32" w:rsidP="00EA5429">
            <w:pPr>
              <w:jc w:val="both"/>
              <w:rPr>
                <w:rFonts w:ascii="Times New Roman" w:hAnsi="Times New Roman" w:cs="Times New Roman"/>
              </w:rPr>
            </w:pPr>
            <w:r>
              <w:rPr>
                <w:rFonts w:ascii="Times New Roman" w:hAnsi="Times New Roman" w:cs="Times New Roman"/>
              </w:rPr>
              <w:t xml:space="preserve"> 2.3 </w:t>
            </w:r>
            <w:r w:rsidR="00EA5429" w:rsidRPr="00EA5429">
              <w:rPr>
                <w:rFonts w:ascii="Times New Roman" w:hAnsi="Times New Roman" w:cs="Times New Roman"/>
              </w:rPr>
              <w:t>São beneficiários os diretores e empregados da SC Participações e Parcerias S.A. – SCPar, bem como seus dependentes legais conforme definidos a seguir:</w:t>
            </w:r>
          </w:p>
          <w:p w:rsidR="00EA5429" w:rsidRPr="00EA5429" w:rsidRDefault="00EA5429" w:rsidP="00EA5429">
            <w:pPr>
              <w:jc w:val="both"/>
              <w:rPr>
                <w:rFonts w:ascii="Times New Roman" w:hAnsi="Times New Roman" w:cs="Times New Roman"/>
              </w:rPr>
            </w:pPr>
            <w:r w:rsidRPr="00EA5429">
              <w:rPr>
                <w:rFonts w:ascii="Times New Roman" w:hAnsi="Times New Roman" w:cs="Times New Roman"/>
              </w:rPr>
              <w:t>a) Cônjuge ou companheiro(a) que comprove união estável nos termos da legislação vigente;</w:t>
            </w:r>
          </w:p>
          <w:p w:rsidR="00EA5429" w:rsidRPr="00EA5429" w:rsidRDefault="00EA5429" w:rsidP="00EA5429">
            <w:pPr>
              <w:jc w:val="both"/>
              <w:rPr>
                <w:rFonts w:ascii="Times New Roman" w:hAnsi="Times New Roman" w:cs="Times New Roman"/>
              </w:rPr>
            </w:pPr>
            <w:r w:rsidRPr="00EA5429">
              <w:rPr>
                <w:rFonts w:ascii="Times New Roman" w:hAnsi="Times New Roman" w:cs="Times New Roman"/>
              </w:rPr>
              <w:t>b) Filhos(as) e enteados(as) até 21 (vinte e um) anos completos, ou de qualquer idade quando incapacitado física ou mentalmente para o trabalho, e até 24 (vinte e quatro) anos completos, se cursando estabelecimento de ensino superior ou ensino profissionalizante;</w:t>
            </w:r>
          </w:p>
          <w:p w:rsidR="00EA5429" w:rsidRPr="00EA5429" w:rsidRDefault="00EA5429" w:rsidP="00EA5429">
            <w:pPr>
              <w:jc w:val="both"/>
              <w:rPr>
                <w:rFonts w:ascii="Times New Roman" w:hAnsi="Times New Roman" w:cs="Times New Roman"/>
              </w:rPr>
            </w:pPr>
            <w:r w:rsidRPr="00EA5429">
              <w:rPr>
                <w:rFonts w:ascii="Times New Roman" w:hAnsi="Times New Roman" w:cs="Times New Roman"/>
              </w:rPr>
              <w:t>c) Ascendentes sob dependência econômica;</w:t>
            </w:r>
          </w:p>
          <w:p w:rsidR="00EA5429" w:rsidRPr="00EA5429" w:rsidRDefault="00EA5429" w:rsidP="00EA5429">
            <w:pPr>
              <w:jc w:val="both"/>
              <w:rPr>
                <w:rFonts w:ascii="Times New Roman" w:hAnsi="Times New Roman" w:cs="Times New Roman"/>
              </w:rPr>
            </w:pPr>
            <w:r w:rsidRPr="00EA5429">
              <w:rPr>
                <w:rFonts w:ascii="Times New Roman" w:hAnsi="Times New Roman" w:cs="Times New Roman"/>
              </w:rPr>
              <w:t>d) Menor sob guarda judicial ou tutela equiparado aos filhos até 21 (vinte e um) anos de idade;</w:t>
            </w:r>
          </w:p>
          <w:p w:rsidR="00EA5429" w:rsidRPr="00B40EBB" w:rsidRDefault="00EA5429" w:rsidP="00EA5429">
            <w:pPr>
              <w:jc w:val="both"/>
              <w:rPr>
                <w:rFonts w:ascii="Times New Roman" w:hAnsi="Times New Roman" w:cs="Times New Roman"/>
              </w:rPr>
            </w:pPr>
            <w:r w:rsidRPr="00EA5429">
              <w:rPr>
                <w:rFonts w:ascii="Times New Roman" w:hAnsi="Times New Roman" w:cs="Times New Roman"/>
              </w:rPr>
              <w:t xml:space="preserve">e) Irmão/irmã solteiro, portador de necessidades especiais, ou interditado por alienação mental, sem economia própria, que viva sob a exclusiva dependência </w:t>
            </w:r>
            <w:r w:rsidR="00B40EBB">
              <w:rPr>
                <w:rFonts w:ascii="Times New Roman" w:hAnsi="Times New Roman" w:cs="Times New Roman"/>
              </w:rPr>
              <w:t xml:space="preserve"> </w:t>
            </w:r>
            <w:r w:rsidRPr="00EA5429">
              <w:rPr>
                <w:rFonts w:ascii="Times New Roman" w:hAnsi="Times New Roman" w:cs="Times New Roman"/>
              </w:rPr>
              <w:t>econômica do servidor e conste como dependente na declaração de Imposto de Renda.</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B40EBB" w:rsidRDefault="00F91A32" w:rsidP="00FF6932">
            <w:pPr>
              <w:jc w:val="both"/>
              <w:rPr>
                <w:rFonts w:ascii="Times New Roman" w:hAnsi="Times New Roman" w:cs="Times New Roman"/>
              </w:rPr>
            </w:pPr>
            <w:r>
              <w:rPr>
                <w:rFonts w:ascii="Times New Roman" w:hAnsi="Times New Roman" w:cs="Times New Roman"/>
              </w:rPr>
              <w:t xml:space="preserve"> 3.1 </w:t>
            </w:r>
            <w:r w:rsidR="00C25693" w:rsidRPr="00C25693">
              <w:rPr>
                <w:rFonts w:ascii="Times New Roman" w:hAnsi="Times New Roman" w:cs="Times New Roman"/>
              </w:rPr>
              <w:t xml:space="preserve">A previsão* de usuários (titulares e dependentes) do plano por faixa etária e sexo consta na </w:t>
            </w:r>
            <w:r w:rsidR="00C25693">
              <w:rPr>
                <w:rFonts w:ascii="Times New Roman" w:hAnsi="Times New Roman" w:cs="Times New Roman"/>
              </w:rPr>
              <w:t>tabela do</w:t>
            </w:r>
            <w:r w:rsidR="000A49BD" w:rsidRPr="00C25693">
              <w:rPr>
                <w:rFonts w:ascii="Times New Roman" w:hAnsi="Times New Roman" w:cs="Times New Roman"/>
              </w:rPr>
              <w:t xml:space="preserve"> Anexo I.</w:t>
            </w:r>
          </w:p>
          <w:p w:rsidR="00B40EBB" w:rsidRPr="00EA5429" w:rsidRDefault="00F91A32" w:rsidP="00B40EBB">
            <w:pPr>
              <w:jc w:val="both"/>
              <w:rPr>
                <w:rFonts w:ascii="Times New Roman" w:hAnsi="Times New Roman" w:cs="Times New Roman"/>
              </w:rPr>
            </w:pPr>
            <w:r>
              <w:rPr>
                <w:rFonts w:ascii="Times New Roman" w:hAnsi="Times New Roman" w:cs="Times New Roman"/>
              </w:rPr>
              <w:lastRenderedPageBreak/>
              <w:t xml:space="preserve">3.2 </w:t>
            </w:r>
            <w:r w:rsidR="00B40EBB" w:rsidRPr="00EA5429">
              <w:rPr>
                <w:rFonts w:ascii="Times New Roman" w:hAnsi="Times New Roman" w:cs="Times New Roman"/>
              </w:rPr>
              <w:t xml:space="preserve">A adesão dos beneficiários é facultativa, não havendo nenhuma obrigatoriedade de permanência no plano de assistência à saúde, igualmente não se responsabilizando a SCPAR pelo número de beneficiários que venham a aderir ao contrato; </w:t>
            </w:r>
          </w:p>
          <w:p w:rsidR="00B40EBB" w:rsidRPr="00EA5429" w:rsidRDefault="00F91A32" w:rsidP="00B40EBB">
            <w:pPr>
              <w:jc w:val="both"/>
              <w:rPr>
                <w:rFonts w:ascii="Times New Roman" w:hAnsi="Times New Roman" w:cs="Times New Roman"/>
              </w:rPr>
            </w:pPr>
            <w:r>
              <w:rPr>
                <w:rFonts w:ascii="Times New Roman" w:hAnsi="Times New Roman" w:cs="Times New Roman"/>
              </w:rPr>
              <w:t xml:space="preserve"> 3.3 </w:t>
            </w:r>
            <w:r w:rsidR="00B40EBB" w:rsidRPr="00EA5429">
              <w:rPr>
                <w:rFonts w:ascii="Times New Roman" w:hAnsi="Times New Roman" w:cs="Times New Roman"/>
              </w:rPr>
              <w:t>O número de beneficiários informado neste Termo poderá variar ao longo do contrato, pelas adesões e exclusões que possam ocorrer.</w:t>
            </w:r>
          </w:p>
          <w:p w:rsidR="00B40EBB" w:rsidRPr="00EA5429" w:rsidRDefault="00F91A32" w:rsidP="00B40EBB">
            <w:pPr>
              <w:jc w:val="both"/>
              <w:rPr>
                <w:rFonts w:ascii="Times New Roman" w:hAnsi="Times New Roman" w:cs="Times New Roman"/>
              </w:rPr>
            </w:pPr>
            <w:r>
              <w:rPr>
                <w:rFonts w:ascii="Times New Roman" w:hAnsi="Times New Roman" w:cs="Times New Roman"/>
              </w:rPr>
              <w:t xml:space="preserve"> 3.4 </w:t>
            </w:r>
            <w:r w:rsidR="00B40EBB" w:rsidRPr="00EA5429">
              <w:rPr>
                <w:rFonts w:ascii="Times New Roman" w:hAnsi="Times New Roman" w:cs="Times New Roman"/>
              </w:rPr>
              <w:t>A SCPAR manterá atualizada junto à contratada a relação dos usuários titulares e dependentes, seus nomes e outros dados necessários, por meio da proposta de inclusão e exclusão, sendo responsabilidade da SCPAR a informação dos dependentes por titular, ficando assegurado a contratada o direito de solicitar a devida comprovação sempre que julgar necessário.</w:t>
            </w:r>
          </w:p>
          <w:p w:rsidR="00B40EBB" w:rsidRPr="00EA5429" w:rsidRDefault="00F91A32" w:rsidP="00B40EBB">
            <w:pPr>
              <w:jc w:val="both"/>
              <w:rPr>
                <w:rFonts w:ascii="Times New Roman" w:hAnsi="Times New Roman" w:cs="Times New Roman"/>
              </w:rPr>
            </w:pPr>
            <w:r>
              <w:rPr>
                <w:rFonts w:ascii="Times New Roman" w:hAnsi="Times New Roman" w:cs="Times New Roman"/>
              </w:rPr>
              <w:t xml:space="preserve"> 3.5 </w:t>
            </w:r>
            <w:r w:rsidR="00B40EBB" w:rsidRPr="00EA5429">
              <w:rPr>
                <w:rFonts w:ascii="Times New Roman" w:hAnsi="Times New Roman" w:cs="Times New Roman"/>
              </w:rPr>
              <w:t>As inclusões e exclusões de beneficiários ao plano contratado deverão ser informadas à contratada até o 15º dia de cada mês, para que surtam efeitos no mês subsequente.</w:t>
            </w:r>
          </w:p>
          <w:p w:rsidR="00B40EBB" w:rsidRPr="00EA5429" w:rsidRDefault="00F91A32" w:rsidP="00B40EBB">
            <w:pPr>
              <w:jc w:val="both"/>
              <w:rPr>
                <w:rFonts w:ascii="Times New Roman" w:hAnsi="Times New Roman" w:cs="Times New Roman"/>
              </w:rPr>
            </w:pPr>
            <w:r>
              <w:rPr>
                <w:rFonts w:ascii="Times New Roman" w:hAnsi="Times New Roman" w:cs="Times New Roman"/>
              </w:rPr>
              <w:t xml:space="preserve"> 3.6 </w:t>
            </w:r>
            <w:r w:rsidR="00B40EBB" w:rsidRPr="00EA5429">
              <w:rPr>
                <w:rFonts w:ascii="Times New Roman" w:hAnsi="Times New Roman" w:cs="Times New Roman"/>
              </w:rPr>
              <w:t>A contratada deverá disponibilizar, sem qualquer custo, carteira de identificação para cada usuário do plano de saúde</w:t>
            </w:r>
            <w:r w:rsidR="00B40EBB">
              <w:rPr>
                <w:rFonts w:ascii="Times New Roman" w:hAnsi="Times New Roman" w:cs="Times New Roman"/>
              </w:rPr>
              <w:t xml:space="preserve">, </w:t>
            </w:r>
            <w:r w:rsidR="00B40EBB" w:rsidRPr="00EA5429">
              <w:rPr>
                <w:rFonts w:ascii="Times New Roman" w:hAnsi="Times New Roman" w:cs="Times New Roman"/>
              </w:rPr>
              <w:t>onde constem os dados básicos necessários para atendimento médico/hospitalar junto as suas unidades credenciadas.</w:t>
            </w:r>
          </w:p>
          <w:p w:rsidR="00B40EBB" w:rsidRPr="00EA5429" w:rsidRDefault="00F91A32" w:rsidP="00B40EBB">
            <w:pPr>
              <w:jc w:val="both"/>
              <w:rPr>
                <w:rFonts w:ascii="Times New Roman" w:hAnsi="Times New Roman" w:cs="Times New Roman"/>
              </w:rPr>
            </w:pPr>
            <w:r>
              <w:rPr>
                <w:rFonts w:ascii="Times New Roman" w:hAnsi="Times New Roman" w:cs="Times New Roman"/>
              </w:rPr>
              <w:t xml:space="preserve"> 3.7 </w:t>
            </w:r>
            <w:r w:rsidR="00B40EBB" w:rsidRPr="00EA5429">
              <w:rPr>
                <w:rFonts w:ascii="Times New Roman" w:hAnsi="Times New Roman" w:cs="Times New Roman"/>
              </w:rPr>
              <w:t>No caso de perda, roubo ou extravio da carteira de identificação do usuário, devidamente comprovado, será emitido nova carteira, mediante o repasse dos custos inerentes ao usuário.</w:t>
            </w:r>
          </w:p>
          <w:p w:rsidR="00B40EBB" w:rsidRPr="00FF6932" w:rsidRDefault="00F91A32" w:rsidP="00B40EBB">
            <w:pPr>
              <w:jc w:val="both"/>
              <w:rPr>
                <w:rFonts w:ascii="Times New Roman" w:hAnsi="Times New Roman" w:cs="Times New Roman"/>
              </w:rPr>
            </w:pPr>
            <w:r>
              <w:rPr>
                <w:rFonts w:ascii="Times New Roman" w:hAnsi="Times New Roman" w:cs="Times New Roman"/>
              </w:rPr>
              <w:t xml:space="preserve"> 3.8 </w:t>
            </w:r>
            <w:r w:rsidR="00B40EBB" w:rsidRPr="00EA5429">
              <w:rPr>
                <w:rFonts w:ascii="Times New Roman" w:hAnsi="Times New Roman" w:cs="Times New Roman"/>
              </w:rPr>
              <w:t>O registro do(s) novo(s) usuário(s) deverá ser realizado em até 5 dias úteis da solicitação de inscrição, e até que seja providenciada a carteira de identificação deverá ser autorizada a utilização do plano;</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7"/>
        </w:trPr>
        <w:tc>
          <w:tcPr>
            <w:tcW w:w="9781" w:type="dxa"/>
            <w:shd w:val="clear" w:color="auto" w:fill="auto"/>
          </w:tcPr>
          <w:p w:rsidR="0020317A" w:rsidRPr="007E20B3" w:rsidRDefault="000A718C" w:rsidP="00902269">
            <w:pPr>
              <w:jc w:val="both"/>
              <w:rPr>
                <w:rFonts w:ascii="Times New Roman" w:hAnsi="Times New Roman" w:cs="Times New Roman"/>
                <w:bCs/>
                <w:iCs/>
              </w:rPr>
            </w:pPr>
            <w:r w:rsidRPr="000A718C">
              <w:rPr>
                <w:rStyle w:val="nfaseIntensa"/>
                <w:rFonts w:ascii="Times New Roman" w:hAnsi="Times New Roman" w:cs="Times New Roman"/>
                <w:sz w:val="22"/>
              </w:rPr>
              <w:t>A contratação de</w:t>
            </w:r>
            <w:r w:rsidR="000A49BD" w:rsidRPr="000A718C">
              <w:rPr>
                <w:rStyle w:val="nfaseIntensa"/>
                <w:rFonts w:ascii="Times New Roman" w:hAnsi="Times New Roman" w:cs="Times New Roman"/>
                <w:sz w:val="22"/>
              </w:rPr>
              <w:t xml:space="preserve"> </w:t>
            </w:r>
            <w:r w:rsidRPr="006A2EAB">
              <w:rPr>
                <w:rStyle w:val="nfaseIntensa"/>
                <w:rFonts w:ascii="Times New Roman" w:hAnsi="Times New Roman" w:cs="Times New Roman"/>
                <w:sz w:val="22"/>
              </w:rPr>
              <w:t xml:space="preserve">operadora de plano de assistência médica, hospitalar, compreendendo os serviços clínicos e cirúrgicos, ambulatoriais, laboratoriais, internação clínica, cirúrgica e obstétrica, por meio de médicos, hospitais e outros serviços auxiliares de diagnósticos e terapia, </w:t>
            </w:r>
            <w:r>
              <w:rPr>
                <w:rStyle w:val="nfaseIntensa"/>
                <w:rFonts w:ascii="Times New Roman" w:hAnsi="Times New Roman" w:cs="Times New Roman"/>
                <w:sz w:val="22"/>
              </w:rPr>
              <w:t xml:space="preserve">sendo </w:t>
            </w:r>
            <w:r w:rsidRPr="00EA5429">
              <w:rPr>
                <w:rFonts w:ascii="Times New Roman" w:hAnsi="Times New Roman" w:cs="Times New Roman"/>
              </w:rPr>
              <w:t>beneficiários</w:t>
            </w:r>
            <w:r>
              <w:rPr>
                <w:rFonts w:ascii="Times New Roman" w:hAnsi="Times New Roman" w:cs="Times New Roman"/>
              </w:rPr>
              <w:t xml:space="preserve"> </w:t>
            </w:r>
            <w:r w:rsidRPr="00EA5429">
              <w:rPr>
                <w:rFonts w:ascii="Times New Roman" w:hAnsi="Times New Roman" w:cs="Times New Roman"/>
              </w:rPr>
              <w:t>os diretores e empregados da SC Participações e Parcerias S.A. – SCPar, bem como seus dependentes legais</w:t>
            </w:r>
            <w:r>
              <w:rPr>
                <w:rFonts w:ascii="Times New Roman" w:hAnsi="Times New Roman" w:cs="Times New Roman"/>
              </w:rPr>
              <w:t xml:space="preserve"> </w:t>
            </w:r>
            <w:r w:rsidR="007E20B3" w:rsidRPr="00902269">
              <w:rPr>
                <w:rStyle w:val="nfaseIntensa"/>
                <w:rFonts w:ascii="Times New Roman" w:hAnsi="Times New Roman" w:cs="Times New Roman"/>
                <w:sz w:val="22"/>
              </w:rPr>
              <w:t>visa g</w:t>
            </w:r>
            <w:r w:rsidR="00B96060" w:rsidRPr="00902269">
              <w:rPr>
                <w:rStyle w:val="nfaseIntensa"/>
                <w:rFonts w:ascii="Times New Roman" w:hAnsi="Times New Roman" w:cs="Times New Roman"/>
                <w:sz w:val="22"/>
              </w:rPr>
              <w:t xml:space="preserve">arantir </w:t>
            </w:r>
            <w:r w:rsidR="00902269" w:rsidRPr="00902269">
              <w:rPr>
                <w:rStyle w:val="nfaseIntensa"/>
                <w:rFonts w:ascii="Times New Roman" w:hAnsi="Times New Roman" w:cs="Times New Roman"/>
                <w:sz w:val="22"/>
              </w:rPr>
              <w:t>a saúde</w:t>
            </w:r>
            <w:r w:rsidRPr="00902269">
              <w:rPr>
                <w:rStyle w:val="nfaseIntensa"/>
                <w:rFonts w:ascii="Times New Roman" w:hAnsi="Times New Roman" w:cs="Times New Roman"/>
                <w:sz w:val="22"/>
              </w:rPr>
              <w:t xml:space="preserve"> dos seus colaboradores bem como de seus dependentes</w:t>
            </w:r>
            <w:r w:rsidR="00902269" w:rsidRPr="00902269">
              <w:rPr>
                <w:rStyle w:val="nfaseIntensa"/>
                <w:rFonts w:ascii="Times New Roman" w:hAnsi="Times New Roman" w:cs="Times New Roman"/>
                <w:sz w:val="22"/>
              </w:rPr>
              <w:t>.</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3F5A7E" w:rsidRDefault="003F5A7E" w:rsidP="003F5A7E">
            <w:pPr>
              <w:jc w:val="both"/>
              <w:rPr>
                <w:rFonts w:ascii="Times New Roman" w:hAnsi="Times New Roman" w:cs="Times New Roman"/>
                <w:szCs w:val="24"/>
              </w:rPr>
            </w:pPr>
            <w:r w:rsidRPr="00A33878">
              <w:rPr>
                <w:rFonts w:ascii="Times New Roman" w:hAnsi="Times New Roman" w:cs="Times New Roman"/>
                <w:szCs w:val="24"/>
              </w:rPr>
              <w:t>A proposta dos licitantes deve atender aos requisitos previstos no edital, neste Termo de Referência e anexos</w:t>
            </w:r>
            <w:r>
              <w:rPr>
                <w:rFonts w:ascii="Times New Roman" w:hAnsi="Times New Roman" w:cs="Times New Roman"/>
                <w:szCs w:val="24"/>
              </w:rPr>
              <w:t xml:space="preserve"> e o</w:t>
            </w:r>
            <w:r w:rsidRPr="00A33878">
              <w:rPr>
                <w:rFonts w:ascii="Times New Roman" w:hAnsi="Times New Roman" w:cs="Times New Roman"/>
                <w:szCs w:val="24"/>
              </w:rPr>
              <w:t xml:space="preserve"> seu prazo de validade deverá ser de no mínimo </w:t>
            </w:r>
            <w:r w:rsidRPr="00A33878">
              <w:rPr>
                <w:rFonts w:ascii="Times New Roman" w:hAnsi="Times New Roman" w:cs="Times New Roman"/>
                <w:b/>
                <w:szCs w:val="24"/>
              </w:rPr>
              <w:t>60 (sessenta) dias</w:t>
            </w:r>
            <w:r>
              <w:rPr>
                <w:rFonts w:ascii="Times New Roman" w:hAnsi="Times New Roman" w:cs="Times New Roman"/>
                <w:szCs w:val="24"/>
              </w:rPr>
              <w:t>, a contar da data prevista para a abertura da sessão.</w:t>
            </w:r>
          </w:p>
          <w:p w:rsidR="0020317A" w:rsidRPr="00FF6932" w:rsidRDefault="0020317A" w:rsidP="00FF6932">
            <w:pPr>
              <w:jc w:val="both"/>
              <w:rPr>
                <w:rFonts w:ascii="Times New Roman" w:hAnsi="Times New Roman" w:cs="Times New Roman"/>
              </w:rPr>
            </w:pP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FF6932">
            <w:pPr>
              <w:jc w:val="both"/>
              <w:rPr>
                <w:rFonts w:ascii="Times New Roman" w:hAnsi="Times New Roman" w:cs="Times New Roman"/>
                <w:color w:val="FF0000"/>
              </w:rPr>
            </w:pPr>
            <w:r w:rsidRPr="00FF6932">
              <w:rPr>
                <w:rFonts w:ascii="Times New Roman" w:hAnsi="Times New Roman" w:cs="Times New Roman"/>
              </w:rPr>
              <w:t>O critério de julgamento é</w:t>
            </w:r>
            <w:r w:rsidR="00C454A1">
              <w:rPr>
                <w:rFonts w:ascii="Times New Roman" w:hAnsi="Times New Roman" w:cs="Times New Roman"/>
              </w:rPr>
              <w:t xml:space="preserve"> a escolha da empresa que ofertar</w:t>
            </w:r>
            <w:r w:rsidRPr="00FF6932">
              <w:rPr>
                <w:rFonts w:ascii="Times New Roman" w:hAnsi="Times New Roman" w:cs="Times New Roman"/>
              </w:rPr>
              <w:t xml:space="preserve"> o menor valor global dos itens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C36692" w:rsidRPr="00FF6932" w:rsidRDefault="00C454A1" w:rsidP="00FF6932">
            <w:pPr>
              <w:pStyle w:val="PargrafodaLista"/>
              <w:spacing w:after="0" w:line="240" w:lineRule="auto"/>
              <w:ind w:left="0"/>
              <w:jc w:val="both"/>
              <w:rPr>
                <w:rStyle w:val="markedcontent"/>
                <w:rFonts w:ascii="Times New Roman" w:hAnsi="Times New Roman"/>
                <w:b/>
              </w:rPr>
            </w:pPr>
            <w:proofErr w:type="gramStart"/>
            <w:r>
              <w:rPr>
                <w:rStyle w:val="markedcontent"/>
                <w:rFonts w:ascii="Times New Roman" w:hAnsi="Times New Roman"/>
                <w:b/>
              </w:rPr>
              <w:t>7</w:t>
            </w:r>
            <w:r w:rsidR="00C36692" w:rsidRPr="00FF6932">
              <w:rPr>
                <w:rStyle w:val="markedcontent"/>
                <w:rFonts w:ascii="Times New Roman" w:hAnsi="Times New Roman"/>
                <w:b/>
              </w:rPr>
              <w:t>.1 Habilitação</w:t>
            </w:r>
            <w:proofErr w:type="gramEnd"/>
            <w:r w:rsidR="00C36692" w:rsidRPr="00FF6932">
              <w:rPr>
                <w:rStyle w:val="markedcontent"/>
                <w:rFonts w:ascii="Times New Roman" w:hAnsi="Times New Roman"/>
                <w:b/>
              </w:rPr>
              <w:t xml:space="preserve"> jurídica:</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a</w:t>
            </w:r>
            <w:proofErr w:type="gramEnd"/>
            <w:r w:rsidRPr="00FF6932">
              <w:rPr>
                <w:rStyle w:val="markedcontent"/>
                <w:rFonts w:ascii="Times New Roman" w:hAnsi="Times New Roman"/>
              </w:rPr>
              <w:t>)registro comercial, no caso de empresa individual;</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ato constitutivo, estatuto ou contrato social em vigor, devidamente registrado, em se tratando de sociedades comerciais, e, no caso de sociedades por ações, acompanhado de documentos de eleição de seus administradores;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c)</w:t>
            </w:r>
            <w:proofErr w:type="gramEnd"/>
            <w:r w:rsidRPr="00FF6932">
              <w:rPr>
                <w:rStyle w:val="markedcontent"/>
                <w:rFonts w:ascii="Times New Roman" w:hAnsi="Times New Roman"/>
              </w:rPr>
              <w:t>inscrição do ato constitutivo, no caso de sociedades civis, acompanhada de prova de diretoria em exercício.</w:t>
            </w:r>
          </w:p>
          <w:p w:rsidR="00C36692" w:rsidRPr="00FF6932" w:rsidRDefault="00C36692" w:rsidP="00FF6932">
            <w:pPr>
              <w:pStyle w:val="PargrafodaLista"/>
              <w:spacing w:after="0" w:line="240" w:lineRule="auto"/>
              <w:ind w:left="0"/>
              <w:jc w:val="both"/>
              <w:rPr>
                <w:rStyle w:val="markedcontent"/>
                <w:rFonts w:ascii="Times New Roman" w:hAnsi="Times New Roman"/>
              </w:rPr>
            </w:pPr>
          </w:p>
          <w:p w:rsidR="00C36692" w:rsidRPr="00FF6932" w:rsidRDefault="00C454A1" w:rsidP="00FF6932">
            <w:pPr>
              <w:pStyle w:val="PargrafodaLista"/>
              <w:spacing w:after="0" w:line="240" w:lineRule="auto"/>
              <w:ind w:left="0"/>
              <w:jc w:val="both"/>
              <w:rPr>
                <w:rStyle w:val="markedcontent"/>
                <w:rFonts w:ascii="Times New Roman" w:hAnsi="Times New Roman"/>
                <w:b/>
              </w:rPr>
            </w:pPr>
            <w:proofErr w:type="gramStart"/>
            <w:r>
              <w:rPr>
                <w:rStyle w:val="markedcontent"/>
                <w:rFonts w:ascii="Times New Roman" w:hAnsi="Times New Roman"/>
                <w:b/>
              </w:rPr>
              <w:lastRenderedPageBreak/>
              <w:t>7</w:t>
            </w:r>
            <w:r w:rsidR="00C36692" w:rsidRPr="00FF6932">
              <w:rPr>
                <w:rStyle w:val="markedcontent"/>
                <w:rFonts w:ascii="Times New Roman" w:hAnsi="Times New Roman"/>
                <w:b/>
              </w:rPr>
              <w:t>.2 Regularidade</w:t>
            </w:r>
            <w:proofErr w:type="gramEnd"/>
            <w:r w:rsidR="00C36692" w:rsidRPr="00FF6932">
              <w:rPr>
                <w:rStyle w:val="markedcontent"/>
                <w:rFonts w:ascii="Times New Roman" w:hAnsi="Times New Roman"/>
                <w:b/>
              </w:rPr>
              <w:t xml:space="preserve"> fiscal:</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w:t>
            </w:r>
            <w:r w:rsidR="00F038C4">
              <w:rPr>
                <w:rStyle w:val="markedcontent"/>
                <w:rFonts w:ascii="Times New Roman" w:hAnsi="Times New Roman"/>
              </w:rPr>
              <w:t xml:space="preserve"> P</w:t>
            </w:r>
            <w:r w:rsidRPr="00FF6932">
              <w:rPr>
                <w:rStyle w:val="markedcontent"/>
                <w:rFonts w:ascii="Times New Roman" w:hAnsi="Times New Roman"/>
              </w:rPr>
              <w:t>rova de inscrição no CNPJ;</w:t>
            </w:r>
          </w:p>
          <w:p w:rsidR="00C36692" w:rsidRPr="00FF6932" w:rsidRDefault="00F038C4" w:rsidP="00FF6932">
            <w:pPr>
              <w:pStyle w:val="PargrafodaLista"/>
              <w:spacing w:after="0" w:line="240" w:lineRule="auto"/>
              <w:ind w:left="0"/>
              <w:jc w:val="both"/>
              <w:rPr>
                <w:rStyle w:val="markedcontent"/>
                <w:rFonts w:ascii="Times New Roman" w:hAnsi="Times New Roman"/>
              </w:rPr>
            </w:pPr>
            <w:r>
              <w:rPr>
                <w:rStyle w:val="markedcontent"/>
                <w:rFonts w:ascii="Times New Roman" w:hAnsi="Times New Roman"/>
              </w:rPr>
              <w:t>b) P</w:t>
            </w:r>
            <w:r w:rsidR="00C36692" w:rsidRPr="00FF6932">
              <w:rPr>
                <w:rStyle w:val="markedcontent"/>
                <w:rFonts w:ascii="Times New Roman" w:hAnsi="Times New Roman"/>
              </w:rPr>
              <w:t>rova de regularidade para com a Fazenda Estadual do domicílio ou sede da proponente;</w:t>
            </w:r>
          </w:p>
          <w:p w:rsidR="00C36692" w:rsidRPr="00FF6932" w:rsidRDefault="000A718C" w:rsidP="00FF6932">
            <w:pPr>
              <w:pStyle w:val="PargrafodaLista"/>
              <w:spacing w:after="0" w:line="240" w:lineRule="auto"/>
              <w:ind w:left="0"/>
              <w:jc w:val="both"/>
              <w:rPr>
                <w:rStyle w:val="markedcontent"/>
                <w:rFonts w:ascii="Times New Roman" w:hAnsi="Times New Roman"/>
              </w:rPr>
            </w:pPr>
            <w:r>
              <w:rPr>
                <w:rStyle w:val="markedcontent"/>
                <w:rFonts w:ascii="Times New Roman" w:hAnsi="Times New Roman"/>
              </w:rPr>
              <w:t xml:space="preserve">  </w:t>
            </w:r>
            <w:proofErr w:type="gramStart"/>
            <w:r w:rsidR="00F038C4">
              <w:rPr>
                <w:rStyle w:val="markedcontent"/>
                <w:rFonts w:ascii="Times New Roman" w:hAnsi="Times New Roman"/>
              </w:rPr>
              <w:t>b.</w:t>
            </w:r>
            <w:proofErr w:type="gramEnd"/>
            <w:r w:rsidR="00F038C4">
              <w:rPr>
                <w:rStyle w:val="markedcontent"/>
                <w:rFonts w:ascii="Times New Roman" w:hAnsi="Times New Roman"/>
              </w:rPr>
              <w:t>1) C</w:t>
            </w:r>
            <w:r w:rsidR="00C36692" w:rsidRPr="00FF6932">
              <w:rPr>
                <w:rStyle w:val="markedcontent"/>
                <w:rFonts w:ascii="Times New Roman" w:hAnsi="Times New Roman"/>
              </w:rPr>
              <w:t>aso o licitante seja de outra Unidade da Federação deverá apresentar, também, a regularidade para com a Fazenda do Estado de Santa Catarina;</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c)</w:t>
            </w:r>
            <w:proofErr w:type="gramEnd"/>
            <w:r w:rsidRPr="00FF6932">
              <w:rPr>
                <w:rStyle w:val="markedcontent"/>
                <w:rFonts w:ascii="Times New Roman" w:hAnsi="Times New Roman"/>
              </w:rPr>
              <w:t>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d)</w:t>
            </w:r>
            <w:proofErr w:type="gramEnd"/>
            <w:r w:rsidRPr="00FF6932">
              <w:rPr>
                <w:rStyle w:val="markedcontent"/>
                <w:rFonts w:ascii="Times New Roman" w:hAnsi="Times New Roman"/>
              </w:rPr>
              <w:t>comprovante de regularidade perante o Fundo de Garantia por Tempo de Serviço (FGTS);</w:t>
            </w:r>
          </w:p>
          <w:p w:rsidR="0020317A" w:rsidRPr="00FF6932" w:rsidRDefault="00C36692" w:rsidP="00FF6932">
            <w:pPr>
              <w:adjustRightInd w:val="0"/>
              <w:jc w:val="both"/>
              <w:rPr>
                <w:rFonts w:ascii="Times New Roman" w:hAnsi="Times New Roman" w:cs="Times New Roman"/>
              </w:rPr>
            </w:pPr>
            <w:r w:rsidRPr="00FF6932">
              <w:rPr>
                <w:rStyle w:val="markedcontent"/>
                <w:rFonts w:ascii="Times New Roman" w:hAnsi="Times New Roman" w:cs="Times New Roman"/>
              </w:rPr>
              <w:t>e)comprovante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Pr="00FF6932">
              <w:rPr>
                <w:rFonts w:ascii="Times New Roman" w:hAnsi="Times New Roman" w:cs="Times New Roman"/>
                <w:b/>
                <w:iCs/>
                <w:shd w:val="clear" w:color="auto" w:fill="FFFFFF"/>
              </w:rPr>
              <w:t xml:space="preserve"> </w:t>
            </w:r>
          </w:p>
        </w:tc>
      </w:tr>
    </w:tbl>
    <w:p w:rsidR="0020317A" w:rsidRPr="00FF6932" w:rsidRDefault="0020317A" w:rsidP="00FF6932">
      <w:pPr>
        <w:widowControl/>
        <w:jc w:val="both"/>
        <w:rPr>
          <w:rFonts w:ascii="Times New Roman" w:hAnsi="Times New Roman" w:cs="Times New Roman"/>
          <w:b/>
        </w:rPr>
      </w:pPr>
    </w:p>
    <w:p w:rsidR="0020317A" w:rsidRPr="00FF6932" w:rsidRDefault="00FF6932"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057"/>
        </w:trPr>
        <w:tc>
          <w:tcPr>
            <w:tcW w:w="9781" w:type="dxa"/>
            <w:shd w:val="clear" w:color="auto" w:fill="auto"/>
          </w:tcPr>
          <w:p w:rsidR="0020317A" w:rsidRPr="00FF6932" w:rsidRDefault="00E562E6" w:rsidP="00E562E6">
            <w:pPr>
              <w:jc w:val="both"/>
              <w:rPr>
                <w:rFonts w:ascii="Times New Roman" w:hAnsi="Times New Roman" w:cs="Times New Roman"/>
              </w:rPr>
            </w:pPr>
            <w:r w:rsidRPr="00F038C4">
              <w:rPr>
                <w:rFonts w:ascii="Times New Roman" w:hAnsi="Times New Roman" w:cs="Times New Roman"/>
                <w:szCs w:val="24"/>
              </w:rPr>
              <w:t xml:space="preserve">O pagamento </w:t>
            </w:r>
            <w:r w:rsidRPr="00F038C4">
              <w:rPr>
                <w:rFonts w:ascii="Times New Roman" w:hAnsi="Times New Roman" w:cs="Times New Roman"/>
                <w:b/>
                <w:szCs w:val="24"/>
              </w:rPr>
              <w:t>será realizado em até 30 (trinta) dias,</w:t>
            </w:r>
            <w:r w:rsidRPr="00F038C4">
              <w:rPr>
                <w:rFonts w:ascii="Times New Roman" w:hAnsi="Times New Roman" w:cs="Times New Roman"/>
                <w:szCs w:val="24"/>
              </w:rPr>
              <w:t xml:space="preserve"> após o recebimento definitivo dos produtos/serviços, devendo o </w:t>
            </w:r>
            <w:r w:rsidRPr="00F038C4">
              <w:rPr>
                <w:rFonts w:ascii="Times New Roman" w:hAnsi="Times New Roman" w:cs="Times New Roman"/>
                <w:b/>
                <w:szCs w:val="24"/>
              </w:rPr>
              <w:t>CONTRATADO</w:t>
            </w:r>
            <w:r w:rsidRPr="00F038C4">
              <w:rPr>
                <w:rFonts w:ascii="Times New Roman" w:hAnsi="Times New Roman" w:cs="Times New Roman"/>
                <w:szCs w:val="24"/>
              </w:rPr>
              <w:t xml:space="preserve"> apresentar a nota fiscal eletrônica</w:t>
            </w:r>
            <w:r>
              <w:rPr>
                <w:rFonts w:ascii="Times New Roman" w:hAnsi="Times New Roman" w:cs="Times New Roman"/>
                <w:szCs w:val="24"/>
              </w:rPr>
              <w:t>.</w:t>
            </w:r>
            <w:r w:rsidRPr="00FF6932">
              <w:rPr>
                <w:rFonts w:ascii="Times New Roman" w:hAnsi="Times New Roman" w:cs="Times New Roman"/>
              </w:rPr>
              <w:t xml:space="preserve"> </w:t>
            </w:r>
            <w:r w:rsidR="00C36692" w:rsidRPr="00FF6932">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3110B6">
        <w:tc>
          <w:tcPr>
            <w:tcW w:w="8647" w:type="dxa"/>
          </w:tcPr>
          <w:p w:rsidR="0020317A" w:rsidRPr="00FF6932" w:rsidRDefault="00C36692" w:rsidP="003F5A7E">
            <w:pPr>
              <w:jc w:val="both"/>
              <w:rPr>
                <w:rFonts w:ascii="Times New Roman" w:hAnsi="Times New Roman" w:cs="Times New Roman"/>
              </w:rPr>
            </w:pPr>
            <w:r w:rsidRPr="00F038C4">
              <w:rPr>
                <w:rFonts w:ascii="Times New Roman" w:hAnsi="Times New Roman" w:cs="Times New Roman"/>
              </w:rPr>
              <w:t>Os preços contratados não poderão sofrer reajustes durante o período do contrato (</w:t>
            </w:r>
            <w:r w:rsidR="003F5A7E" w:rsidRPr="00F038C4">
              <w:rPr>
                <w:rFonts w:ascii="Times New Roman" w:hAnsi="Times New Roman" w:cs="Times New Roman"/>
              </w:rPr>
              <w:t>24</w:t>
            </w:r>
            <w:r w:rsidRPr="00F038C4">
              <w:rPr>
                <w:rFonts w:ascii="Times New Roman" w:hAnsi="Times New Roman" w:cs="Times New Roman"/>
              </w:rPr>
              <w:t xml:space="preserve"> meses).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FORMA DE FORNECIMENTO DOS BENS E VIGÊNCIA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E562E6" w:rsidRPr="00F038C4" w:rsidRDefault="00F91A32" w:rsidP="00E562E6">
            <w:pPr>
              <w:jc w:val="both"/>
              <w:rPr>
                <w:rFonts w:ascii="Times New Roman" w:hAnsi="Times New Roman" w:cs="Times New Roman"/>
                <w:szCs w:val="24"/>
              </w:rPr>
            </w:pPr>
            <w:r w:rsidRPr="00F038C4">
              <w:rPr>
                <w:rFonts w:ascii="Times New Roman" w:hAnsi="Times New Roman" w:cs="Times New Roman"/>
                <w:szCs w:val="24"/>
              </w:rPr>
              <w:t xml:space="preserve"> 10.1 </w:t>
            </w:r>
            <w:r w:rsidR="00E562E6" w:rsidRPr="00F038C4">
              <w:rPr>
                <w:rFonts w:ascii="Times New Roman" w:hAnsi="Times New Roman" w:cs="Times New Roman"/>
                <w:szCs w:val="24"/>
              </w:rPr>
              <w:t xml:space="preserve">Efetuar a prestação de serviços aos beneficiários de assistência médica, hospitalar e obstetrícia, ambulatorial e laboratorial, em nível nacional, de acordo com as condições e prazos propostos, sendo a cobertura de consultas médicas em número ilimitado, em clínicas básicas e especializadas, reconhecidas pelo Conselho Federal de Medicina - CFM, e previstas no presente instrumento, incluindo atendimento de emergência 24 (vinte e quatro horas), em todos os dias da semana; </w:t>
            </w:r>
          </w:p>
          <w:p w:rsidR="00E562E6" w:rsidRPr="00F038C4" w:rsidRDefault="00E562E6" w:rsidP="00E562E6">
            <w:pPr>
              <w:jc w:val="both"/>
              <w:rPr>
                <w:rFonts w:ascii="Times New Roman" w:hAnsi="Times New Roman" w:cs="Times New Roman"/>
                <w:szCs w:val="24"/>
              </w:rPr>
            </w:pPr>
          </w:p>
          <w:p w:rsidR="00E562E6" w:rsidRPr="00F038C4" w:rsidRDefault="00F91A32" w:rsidP="00E562E6">
            <w:pPr>
              <w:jc w:val="both"/>
              <w:rPr>
                <w:rFonts w:ascii="Times New Roman" w:hAnsi="Times New Roman" w:cs="Times New Roman"/>
                <w:szCs w:val="24"/>
              </w:rPr>
            </w:pPr>
            <w:r w:rsidRPr="00F038C4">
              <w:rPr>
                <w:rFonts w:ascii="Times New Roman" w:hAnsi="Times New Roman" w:cs="Times New Roman"/>
                <w:szCs w:val="24"/>
              </w:rPr>
              <w:t xml:space="preserve"> 10.2 </w:t>
            </w:r>
            <w:r w:rsidR="00E562E6" w:rsidRPr="00F038C4">
              <w:rPr>
                <w:rFonts w:ascii="Times New Roman" w:hAnsi="Times New Roman" w:cs="Times New Roman"/>
                <w:szCs w:val="24"/>
              </w:rPr>
              <w:t>Garantir o acesso e o atendimento dos beneficiários aos serviços e procedimentos definidos na Lei n° 9.656/98, nas Resoluções Normativas vigentes (atualização do Rol de Procedimentos e Eventos em Saúde), emitidas pela Agência Nacional de Saúde – ANS, sendo que a observação ao disposto na legislação citada não obsta a inclusão de outras especialidades médicas ou procedimentos;.</w:t>
            </w:r>
          </w:p>
          <w:p w:rsidR="00E562E6" w:rsidRPr="00F038C4" w:rsidRDefault="00E562E6" w:rsidP="00E562E6">
            <w:pPr>
              <w:jc w:val="both"/>
              <w:rPr>
                <w:rFonts w:ascii="Times New Roman" w:hAnsi="Times New Roman" w:cs="Times New Roman"/>
                <w:szCs w:val="24"/>
              </w:rPr>
            </w:pPr>
          </w:p>
          <w:p w:rsidR="00E562E6" w:rsidRPr="00F038C4" w:rsidRDefault="00F91A32" w:rsidP="00E562E6">
            <w:pPr>
              <w:jc w:val="both"/>
              <w:rPr>
                <w:rFonts w:ascii="Times New Roman" w:hAnsi="Times New Roman" w:cs="Times New Roman"/>
                <w:szCs w:val="24"/>
              </w:rPr>
            </w:pPr>
            <w:r w:rsidRPr="00F038C4">
              <w:rPr>
                <w:rFonts w:ascii="Times New Roman" w:hAnsi="Times New Roman" w:cs="Times New Roman"/>
                <w:szCs w:val="24"/>
              </w:rPr>
              <w:t xml:space="preserve"> 10.3 </w:t>
            </w:r>
            <w:r w:rsidR="00E562E6" w:rsidRPr="00F038C4">
              <w:rPr>
                <w:rFonts w:ascii="Times New Roman" w:hAnsi="Times New Roman" w:cs="Times New Roman"/>
                <w:szCs w:val="24"/>
              </w:rPr>
              <w:t>Cobertura dos serviços de apoio diagnóstico e tratamento, bem como os demais procedimentos ambulatoriais solicitados pelo médico assistente;</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10.4 </w:t>
            </w:r>
            <w:r w:rsidR="00E562E6" w:rsidRPr="00F038C4">
              <w:rPr>
                <w:rFonts w:ascii="Times New Roman" w:hAnsi="Times New Roman" w:cs="Times New Roman"/>
                <w:szCs w:val="24"/>
              </w:rPr>
              <w:t xml:space="preserve">Cobertura de internações hospitalares em quarto individual com banheiro privativo e com direito a um acompanhante, sendo vedada a limitação de prazo, valor máximo e quantidade, em todas as clínicas básicas e especializadas reconhecidas pelo Conselho Federal de Medicina, </w:t>
            </w:r>
            <w:r w:rsidR="00E562E6" w:rsidRPr="00F038C4">
              <w:rPr>
                <w:rFonts w:ascii="Times New Roman" w:hAnsi="Times New Roman" w:cs="Times New Roman"/>
                <w:szCs w:val="24"/>
              </w:rPr>
              <w:lastRenderedPageBreak/>
              <w:t xml:space="preserve">inclusive procedimentos obstétricos; </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10.5</w:t>
            </w:r>
            <w:r w:rsidR="003C3EB0">
              <w:rPr>
                <w:rFonts w:ascii="Times New Roman" w:hAnsi="Times New Roman" w:cs="Times New Roman"/>
                <w:szCs w:val="24"/>
              </w:rPr>
              <w:t xml:space="preserve"> </w:t>
            </w:r>
            <w:r w:rsidR="00E562E6" w:rsidRPr="00F038C4">
              <w:rPr>
                <w:rFonts w:ascii="Times New Roman" w:hAnsi="Times New Roman" w:cs="Times New Roman"/>
                <w:szCs w:val="24"/>
              </w:rPr>
              <w:t>Cobertura de internações hospitalares em centros de terapia intensiva ou similar, vedada a limitação de prazo, valor máximo e quantidade, a critério do médico assistente;</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10.6 </w:t>
            </w:r>
            <w:r w:rsidR="00E562E6" w:rsidRPr="00F038C4">
              <w:rPr>
                <w:rFonts w:ascii="Times New Roman" w:hAnsi="Times New Roman" w:cs="Times New Roman"/>
                <w:szCs w:val="24"/>
              </w:rPr>
              <w:t>Cobertura de despesas referentes a honorários médicos, serviços gerais de enfermagem e alimentação nos casos de internação hospitalar;</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10.7 </w:t>
            </w:r>
            <w:r w:rsidR="00E562E6" w:rsidRPr="00F038C4">
              <w:rPr>
                <w:rFonts w:ascii="Times New Roman" w:hAnsi="Times New Roman" w:cs="Times New Roman"/>
                <w:szCs w:val="24"/>
              </w:rPr>
              <w:t xml:space="preserve">Cobertura de exames complementares indispensáveis ao controle da evolução da doença e elucidação diagnóstica, com fornecimento de medicamentos, próteses e órteses, conforme solicitação médica, contrastes, anestésicos, oxigênio, transfusão, sessões de quimioterapia e radioterapia, conforme prescrição do médico assistente, realizados ou ministrados durante o período de internação hospitalar. </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10.8 </w:t>
            </w:r>
            <w:r w:rsidR="00E562E6" w:rsidRPr="00F038C4">
              <w:rPr>
                <w:rFonts w:ascii="Times New Roman" w:hAnsi="Times New Roman" w:cs="Times New Roman"/>
                <w:szCs w:val="24"/>
              </w:rPr>
              <w:t>A cobertura para os procedimentos considerados especiais, mesmo quando prestados ambulatorialmente, cuja necessidade esteja relacionada à continuidade da assistência prestada como internação hospitalar, na forma da RN 387/2015 da ANS, ou outra RN que venha a sucedê-la;</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10.9 </w:t>
            </w:r>
            <w:r w:rsidR="00E562E6" w:rsidRPr="00F038C4">
              <w:rPr>
                <w:rFonts w:ascii="Times New Roman" w:hAnsi="Times New Roman" w:cs="Times New Roman"/>
                <w:szCs w:val="24"/>
              </w:rPr>
              <w:t xml:space="preserve">A cobertura de consultas e sessões com nutricionista, fonoaudiólogo e terapeuta ocupacional de acordo com o número de sessões estabelecido no Rol de Procedimentos e Eventos em Saúde vigente à época do evento, conforme indicação do médico assistente; </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10.10 </w:t>
            </w:r>
            <w:r w:rsidR="00E562E6" w:rsidRPr="00F038C4">
              <w:rPr>
                <w:rFonts w:ascii="Times New Roman" w:hAnsi="Times New Roman" w:cs="Times New Roman"/>
                <w:szCs w:val="24"/>
              </w:rPr>
              <w:t xml:space="preserve">A cobertura de psicoterapia de acordo com o número de sessões estabelecido no Rol de Procedimentos e Eventos em Saúde vigente à época do evento, que poderão ser realizadas tanto por psicólogo como por médico devidamente habilitado, conforme indicação do médico assistente; </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10.11 </w:t>
            </w:r>
            <w:r w:rsidR="00E562E6" w:rsidRPr="00F038C4">
              <w:rPr>
                <w:rFonts w:ascii="Times New Roman" w:hAnsi="Times New Roman" w:cs="Times New Roman"/>
                <w:szCs w:val="24"/>
              </w:rPr>
              <w:t>A cobertura dos procedimentos de fisioterapia listados no Rol de Procedimentos e Eventos em Saúde vigente à época do evento, em número ilimitado de sessões por ano, que poderão ser realizados tanto porfisiatra como por fisioterapeuta, conforme indicação do médico assistente;</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10.12 </w:t>
            </w:r>
            <w:r w:rsidR="00E562E6" w:rsidRPr="00F038C4">
              <w:rPr>
                <w:rFonts w:ascii="Times New Roman" w:hAnsi="Times New Roman" w:cs="Times New Roman"/>
                <w:szCs w:val="24"/>
              </w:rPr>
              <w:t>A cobertura de procedimentos relacionados com acidentes de trabalho, suas consequências e moléstias profissionais.</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10.13 </w:t>
            </w:r>
            <w:r w:rsidR="00E562E6" w:rsidRPr="00F038C4">
              <w:rPr>
                <w:rFonts w:ascii="Times New Roman" w:hAnsi="Times New Roman" w:cs="Times New Roman"/>
                <w:szCs w:val="24"/>
              </w:rPr>
              <w:t>Nos procedimentos obstétricos, deverá ser estendida a cobertura assistencial ao recém-nato, filho natural do usuário do plano ou seguro, como dependente, isento do cumprimento de períodos de carência, desde que a inscrição ocorra no prazo máximo de 30 (trinta) dias após o nascimento ou adoção;</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10.14 </w:t>
            </w:r>
            <w:r w:rsidR="00E562E6" w:rsidRPr="00F038C4">
              <w:rPr>
                <w:rFonts w:ascii="Times New Roman" w:hAnsi="Times New Roman" w:cs="Times New Roman"/>
                <w:szCs w:val="24"/>
              </w:rPr>
              <w:t>Reembolso, nos limites das obrigações contratuais das despesas efetuadas pelo beneficiário, titular ou dependente, com assistência à saúde, de acordo com a relação de preços de serviços médicos hospitalares praticados pelo plano contratado, ou, na hipótese de descumprimento do disposto nos artigos 4º, 5º, 6º da Resolução Normativa da ANS nº 259/2011 caso o beneficiário seja obrigado a pagar os custos do atendimento, a contratada deverá reembolsá-lo integralmente no prazo de até 30 dias, contado da data de solicitação de reembolso, inclusive as despesas com transporte;</w:t>
            </w:r>
          </w:p>
          <w:p w:rsidR="00E562E6" w:rsidRPr="00F038C4" w:rsidRDefault="00E562E6" w:rsidP="00E562E6">
            <w:pPr>
              <w:jc w:val="both"/>
              <w:rPr>
                <w:rFonts w:ascii="Times New Roman" w:hAnsi="Times New Roman" w:cs="Times New Roman"/>
                <w:szCs w:val="24"/>
              </w:rPr>
            </w:pP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10.15 </w:t>
            </w:r>
            <w:r w:rsidR="00E562E6" w:rsidRPr="00F038C4">
              <w:rPr>
                <w:rFonts w:ascii="Times New Roman" w:hAnsi="Times New Roman" w:cs="Times New Roman"/>
                <w:szCs w:val="24"/>
              </w:rPr>
              <w:t xml:space="preserve">Os serviços e procedimentos solicitados pelo médico assistente devem ser atendidos respeitando prazos previstos na RN 259/2011; </w:t>
            </w:r>
          </w:p>
          <w:p w:rsidR="00E562E6" w:rsidRPr="00F038C4"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10.16 </w:t>
            </w:r>
            <w:r w:rsidR="00E562E6" w:rsidRPr="00F038C4">
              <w:rPr>
                <w:rFonts w:ascii="Times New Roman" w:hAnsi="Times New Roman" w:cs="Times New Roman"/>
                <w:szCs w:val="24"/>
              </w:rPr>
              <w:t xml:space="preserve">A contratada responsabiliza-se por todos os impostos, taxas, encargos sociais, </w:t>
            </w:r>
            <w:r w:rsidR="00E562E6" w:rsidRPr="00F038C4">
              <w:rPr>
                <w:rFonts w:ascii="Times New Roman" w:hAnsi="Times New Roman" w:cs="Times New Roman"/>
                <w:szCs w:val="24"/>
              </w:rPr>
              <w:lastRenderedPageBreak/>
              <w:t xml:space="preserve">obrigações de ordem trabalhistas, previdenciária e cível, decorrentes das suas atividades. </w:t>
            </w:r>
          </w:p>
          <w:p w:rsidR="00E562E6" w:rsidRPr="00F038C4" w:rsidRDefault="00E562E6" w:rsidP="00E562E6">
            <w:pPr>
              <w:jc w:val="both"/>
              <w:rPr>
                <w:rFonts w:ascii="Times New Roman" w:hAnsi="Times New Roman" w:cs="Times New Roman"/>
                <w:szCs w:val="24"/>
              </w:rPr>
            </w:pPr>
          </w:p>
          <w:p w:rsidR="00E562E6" w:rsidRDefault="003128AC" w:rsidP="00E562E6">
            <w:pPr>
              <w:jc w:val="both"/>
              <w:rPr>
                <w:rFonts w:ascii="Times New Roman" w:hAnsi="Times New Roman" w:cs="Times New Roman"/>
                <w:szCs w:val="24"/>
              </w:rPr>
            </w:pPr>
            <w:r w:rsidRPr="00F038C4">
              <w:rPr>
                <w:rFonts w:ascii="Times New Roman" w:hAnsi="Times New Roman" w:cs="Times New Roman"/>
                <w:szCs w:val="24"/>
              </w:rPr>
              <w:t xml:space="preserve"> 10.17 </w:t>
            </w:r>
            <w:r w:rsidR="00E562E6" w:rsidRPr="00F038C4">
              <w:rPr>
                <w:rFonts w:ascii="Times New Roman" w:hAnsi="Times New Roman" w:cs="Times New Roman"/>
                <w:szCs w:val="24"/>
              </w:rPr>
              <w:t>A contratada disponibilizará o serviço com coparticipação em consultas, exames e procedimentos ambulatoriais, tendo como referência a CBHPM – Classificação Hierarquizada de Procedimentos Médicos mais recentes em vigor, de acordo com a resolução vigente do CFM (Conselho Federal de Medicina), no percentual de 20% (vinte por cento), limitado ao teto máximo de até R$ 120,00 (cento e vinte reais) por procedimento, sendo que as internações hospitalares serão cobertas integralmente pela CONTRATADA.  A título de contribuição, o beneficiário participará individualmente com 15% do valor da mensalidade do Plano de Saúde e a SCPar com 85% da mensalidade do mesmo.</w:t>
            </w:r>
          </w:p>
          <w:p w:rsidR="0034057B" w:rsidRDefault="0034057B" w:rsidP="00E562E6">
            <w:pPr>
              <w:jc w:val="both"/>
              <w:rPr>
                <w:rFonts w:ascii="Times New Roman" w:hAnsi="Times New Roman" w:cs="Times New Roman"/>
                <w:szCs w:val="24"/>
              </w:rPr>
            </w:pPr>
          </w:p>
          <w:p w:rsidR="0034057B" w:rsidRPr="0034057B" w:rsidRDefault="003128AC" w:rsidP="0034057B">
            <w:pPr>
              <w:jc w:val="both"/>
              <w:rPr>
                <w:rFonts w:ascii="Times New Roman" w:hAnsi="Times New Roman" w:cs="Times New Roman"/>
                <w:szCs w:val="24"/>
              </w:rPr>
            </w:pPr>
            <w:r>
              <w:rPr>
                <w:rFonts w:ascii="Times New Roman" w:hAnsi="Times New Roman" w:cs="Times New Roman"/>
                <w:szCs w:val="24"/>
              </w:rPr>
              <w:t xml:space="preserve"> 10.18 </w:t>
            </w:r>
            <w:r w:rsidR="0034057B" w:rsidRPr="0034057B">
              <w:rPr>
                <w:rFonts w:ascii="Times New Roman" w:hAnsi="Times New Roman" w:cs="Times New Roman"/>
                <w:szCs w:val="24"/>
              </w:rPr>
              <w:t>Os atuais empregados e diretores da SCPAR, bem como os seus dependentes, serão inscritos sem carências, desde que incluídos na data da assinatura do instrumento contratual ou se a sua inscrição ocorrer em até 30 (trinta) dias da data de sua admissão na SCPAR, ou ainda, após atendidas as condições que os habilitaram a tornarem-se dependentes.</w:t>
            </w:r>
          </w:p>
          <w:p w:rsidR="0034057B" w:rsidRPr="0034057B" w:rsidRDefault="0034057B" w:rsidP="0034057B">
            <w:pPr>
              <w:jc w:val="both"/>
              <w:rPr>
                <w:rFonts w:ascii="Times New Roman" w:hAnsi="Times New Roman" w:cs="Times New Roman"/>
                <w:szCs w:val="24"/>
              </w:rPr>
            </w:pPr>
            <w:r w:rsidRPr="0034057B">
              <w:rPr>
                <w:rFonts w:ascii="Times New Roman" w:hAnsi="Times New Roman" w:cs="Times New Roman"/>
                <w:szCs w:val="24"/>
              </w:rPr>
              <w:t>A SCPAR comunicará àcontratada toda admissão de empregado, bem como de novos dependentes, para sua inclusão nos serviços de assistência médica.</w:t>
            </w:r>
          </w:p>
          <w:p w:rsidR="0034057B" w:rsidRPr="0034057B" w:rsidRDefault="003128AC" w:rsidP="0034057B">
            <w:pPr>
              <w:jc w:val="both"/>
              <w:rPr>
                <w:rFonts w:ascii="Times New Roman" w:hAnsi="Times New Roman" w:cs="Times New Roman"/>
                <w:szCs w:val="24"/>
              </w:rPr>
            </w:pPr>
            <w:r>
              <w:rPr>
                <w:rFonts w:ascii="Times New Roman" w:hAnsi="Times New Roman" w:cs="Times New Roman"/>
                <w:szCs w:val="24"/>
              </w:rPr>
              <w:t xml:space="preserve"> 10.19 </w:t>
            </w:r>
            <w:r w:rsidR="0034057B" w:rsidRPr="0034057B">
              <w:rPr>
                <w:rFonts w:ascii="Times New Roman" w:hAnsi="Times New Roman" w:cs="Times New Roman"/>
                <w:szCs w:val="24"/>
              </w:rPr>
              <w:t>Novos usuários deverão ser inscritos em, no máximo, até 30 (trinta) dias após a condição que os habilitou a tornarem-se dependentes, para ficarem isentos dos prazos de carência previstos, ressalvado para a contratada a prerrogativa de exigir comprovação, quando julgar necessária.</w:t>
            </w:r>
          </w:p>
          <w:p w:rsidR="0034057B" w:rsidRPr="0034057B" w:rsidRDefault="003128AC" w:rsidP="0034057B">
            <w:pPr>
              <w:jc w:val="both"/>
              <w:rPr>
                <w:rFonts w:ascii="Times New Roman" w:hAnsi="Times New Roman" w:cs="Times New Roman"/>
                <w:szCs w:val="24"/>
              </w:rPr>
            </w:pPr>
            <w:r>
              <w:rPr>
                <w:rFonts w:ascii="Times New Roman" w:hAnsi="Times New Roman" w:cs="Times New Roman"/>
                <w:szCs w:val="24"/>
              </w:rPr>
              <w:t xml:space="preserve"> 10.20 </w:t>
            </w:r>
            <w:r w:rsidR="0034057B" w:rsidRPr="0034057B">
              <w:rPr>
                <w:rFonts w:ascii="Times New Roman" w:hAnsi="Times New Roman" w:cs="Times New Roman"/>
                <w:szCs w:val="24"/>
              </w:rPr>
              <w:t>Os usuários dependentes, quando incluídos após 30 (trinta) dias da vigência do contrato, sofrerão as carências previstas pela contratada, excetuando-se:</w:t>
            </w:r>
          </w:p>
          <w:p w:rsidR="0034057B" w:rsidRPr="0034057B" w:rsidRDefault="0034057B" w:rsidP="0034057B">
            <w:pPr>
              <w:jc w:val="both"/>
              <w:rPr>
                <w:rFonts w:ascii="Times New Roman" w:hAnsi="Times New Roman" w:cs="Times New Roman"/>
                <w:szCs w:val="24"/>
              </w:rPr>
            </w:pPr>
            <w:r w:rsidRPr="0034057B">
              <w:rPr>
                <w:rFonts w:ascii="Times New Roman" w:hAnsi="Times New Roman" w:cs="Times New Roman"/>
                <w:szCs w:val="24"/>
              </w:rPr>
              <w:t>a) os filhos recém-nascidos, os adotivos, quando o prazo para inclusão, sem carência, respectivamente será de 30 (trinta) dias após o nascimento ou da data inicial do termo de adoção e termo de guarda menor provisória ou definitiva;</w:t>
            </w:r>
          </w:p>
          <w:p w:rsidR="0034057B" w:rsidRPr="0034057B" w:rsidRDefault="0034057B" w:rsidP="0034057B">
            <w:pPr>
              <w:jc w:val="both"/>
              <w:rPr>
                <w:rFonts w:ascii="Times New Roman" w:hAnsi="Times New Roman" w:cs="Times New Roman"/>
                <w:szCs w:val="24"/>
              </w:rPr>
            </w:pPr>
            <w:r w:rsidRPr="0034057B">
              <w:rPr>
                <w:rFonts w:ascii="Times New Roman" w:hAnsi="Times New Roman" w:cs="Times New Roman"/>
                <w:szCs w:val="24"/>
              </w:rPr>
              <w:t>b) os casos de novas admissões na SCPAR, quando o prazo de inclusão, sem carência, será de 30 (trinta) dias após a data de admissão ao emprego; e,</w:t>
            </w:r>
          </w:p>
          <w:p w:rsidR="0034057B" w:rsidRPr="0034057B" w:rsidRDefault="0034057B" w:rsidP="0034057B">
            <w:pPr>
              <w:jc w:val="both"/>
              <w:rPr>
                <w:rFonts w:ascii="Times New Roman" w:hAnsi="Times New Roman" w:cs="Times New Roman"/>
                <w:szCs w:val="24"/>
              </w:rPr>
            </w:pPr>
            <w:r w:rsidRPr="0034057B">
              <w:rPr>
                <w:rFonts w:ascii="Times New Roman" w:hAnsi="Times New Roman" w:cs="Times New Roman"/>
                <w:szCs w:val="24"/>
              </w:rPr>
              <w:t>c) os casos de casamento, tutela, termo que se derem na vigência do contrato, quando o prazo para inclusão, sem carência, será de 30 (trinta) dias após a data do evento respectivo.</w:t>
            </w:r>
          </w:p>
          <w:p w:rsidR="0034057B" w:rsidRPr="0034057B" w:rsidRDefault="003128AC" w:rsidP="0034057B">
            <w:pPr>
              <w:jc w:val="both"/>
              <w:rPr>
                <w:rFonts w:ascii="Times New Roman" w:hAnsi="Times New Roman" w:cs="Times New Roman"/>
                <w:szCs w:val="24"/>
              </w:rPr>
            </w:pPr>
            <w:r>
              <w:rPr>
                <w:rFonts w:ascii="Times New Roman" w:hAnsi="Times New Roman" w:cs="Times New Roman"/>
                <w:szCs w:val="24"/>
              </w:rPr>
              <w:t xml:space="preserve"> 10.21 </w:t>
            </w:r>
            <w:r w:rsidR="0034057B" w:rsidRPr="0034057B">
              <w:rPr>
                <w:rFonts w:ascii="Times New Roman" w:hAnsi="Times New Roman" w:cs="Times New Roman"/>
                <w:szCs w:val="24"/>
              </w:rPr>
              <w:t>As carências máximas previstas serão de:</w:t>
            </w:r>
          </w:p>
          <w:p w:rsidR="0034057B" w:rsidRPr="0034057B" w:rsidRDefault="0034057B" w:rsidP="0034057B">
            <w:pPr>
              <w:jc w:val="both"/>
              <w:rPr>
                <w:rFonts w:ascii="Times New Roman" w:hAnsi="Times New Roman" w:cs="Times New Roman"/>
                <w:szCs w:val="24"/>
              </w:rPr>
            </w:pPr>
            <w:r w:rsidRPr="0034057B">
              <w:rPr>
                <w:rFonts w:ascii="Times New Roman" w:hAnsi="Times New Roman" w:cs="Times New Roman"/>
                <w:szCs w:val="24"/>
              </w:rPr>
              <w:t>a) um período máximo de 300 dias para partos a termos; e,</w:t>
            </w:r>
          </w:p>
          <w:p w:rsidR="0034057B" w:rsidRPr="0034057B" w:rsidRDefault="0034057B" w:rsidP="0034057B">
            <w:pPr>
              <w:jc w:val="both"/>
              <w:rPr>
                <w:rFonts w:ascii="Times New Roman" w:hAnsi="Times New Roman" w:cs="Times New Roman"/>
                <w:szCs w:val="24"/>
              </w:rPr>
            </w:pPr>
            <w:r w:rsidRPr="0034057B">
              <w:rPr>
                <w:rFonts w:ascii="Times New Roman" w:hAnsi="Times New Roman" w:cs="Times New Roman"/>
                <w:szCs w:val="24"/>
              </w:rPr>
              <w:t xml:space="preserve">b) um período máximo de 180 dias para os demais casos, excluindo-se os casos de urgência e emergência, que deverão ter seu atendimento imediato. </w:t>
            </w:r>
          </w:p>
          <w:p w:rsidR="0034057B" w:rsidRPr="0034057B" w:rsidRDefault="003128AC" w:rsidP="0034057B">
            <w:pPr>
              <w:jc w:val="both"/>
              <w:rPr>
                <w:rFonts w:ascii="Times New Roman" w:hAnsi="Times New Roman" w:cs="Times New Roman"/>
                <w:szCs w:val="24"/>
              </w:rPr>
            </w:pPr>
            <w:r>
              <w:rPr>
                <w:rFonts w:ascii="Times New Roman" w:hAnsi="Times New Roman" w:cs="Times New Roman"/>
                <w:szCs w:val="24"/>
              </w:rPr>
              <w:t xml:space="preserve"> 10.22 </w:t>
            </w:r>
            <w:r w:rsidR="0034057B" w:rsidRPr="0034057B">
              <w:rPr>
                <w:rFonts w:ascii="Times New Roman" w:hAnsi="Times New Roman" w:cs="Times New Roman"/>
                <w:szCs w:val="24"/>
              </w:rPr>
              <w:t>A contratada deverá, quando d</w:t>
            </w:r>
            <w:r>
              <w:rPr>
                <w:rFonts w:ascii="Times New Roman" w:hAnsi="Times New Roman" w:cs="Times New Roman"/>
                <w:szCs w:val="24"/>
              </w:rPr>
              <w:t xml:space="preserve">a exclusão do usuário, garantir </w:t>
            </w:r>
            <w:r w:rsidR="0034057B" w:rsidRPr="0034057B">
              <w:rPr>
                <w:rFonts w:ascii="Times New Roman" w:hAnsi="Times New Roman" w:cs="Times New Roman"/>
                <w:szCs w:val="24"/>
              </w:rPr>
              <w:t xml:space="preserve">o atendimento até o término do mês do desligamento. </w:t>
            </w:r>
          </w:p>
          <w:p w:rsidR="0034057B" w:rsidRDefault="003128AC" w:rsidP="0034057B">
            <w:pPr>
              <w:jc w:val="both"/>
              <w:rPr>
                <w:rFonts w:ascii="Times New Roman" w:hAnsi="Times New Roman" w:cs="Times New Roman"/>
                <w:szCs w:val="24"/>
              </w:rPr>
            </w:pPr>
            <w:r>
              <w:rPr>
                <w:rFonts w:ascii="Times New Roman" w:hAnsi="Times New Roman" w:cs="Times New Roman"/>
                <w:szCs w:val="24"/>
              </w:rPr>
              <w:t xml:space="preserve"> 10.23 </w:t>
            </w:r>
            <w:r w:rsidR="0034057B" w:rsidRPr="0034057B">
              <w:rPr>
                <w:rFonts w:ascii="Times New Roman" w:hAnsi="Times New Roman" w:cs="Times New Roman"/>
                <w:szCs w:val="24"/>
              </w:rPr>
              <w:t>A SCPAR comunicará à contratada toda exclusão de beneficiários, para que seja realizado o bloqueio do atendimento.</w:t>
            </w:r>
          </w:p>
          <w:p w:rsidR="003C3EB0" w:rsidRPr="00F038C4" w:rsidRDefault="003C3EB0" w:rsidP="003C3EB0">
            <w:pPr>
              <w:jc w:val="both"/>
              <w:rPr>
                <w:rFonts w:ascii="Times New Roman" w:hAnsi="Times New Roman" w:cs="Times New Roman"/>
                <w:szCs w:val="24"/>
              </w:rPr>
            </w:pPr>
            <w:r>
              <w:rPr>
                <w:rFonts w:ascii="Times New Roman" w:hAnsi="Times New Roman" w:cs="Times New Roman"/>
                <w:szCs w:val="24"/>
              </w:rPr>
              <w:t xml:space="preserve"> 10.24 </w:t>
            </w:r>
            <w:r w:rsidRPr="00F038C4">
              <w:rPr>
                <w:rFonts w:ascii="Times New Roman" w:hAnsi="Times New Roman" w:cs="Times New Roman"/>
                <w:szCs w:val="24"/>
              </w:rPr>
              <w:t xml:space="preserve">Disponibilizar contato telefônico 24h por dia, 7 (sete) dias por semana, com pessoal habilitado a informar e orientar os beneficiários; </w:t>
            </w:r>
          </w:p>
          <w:p w:rsidR="00E562E6" w:rsidRPr="00FF6932" w:rsidRDefault="003128AC" w:rsidP="003C3EB0">
            <w:pPr>
              <w:jc w:val="both"/>
              <w:rPr>
                <w:rFonts w:ascii="Times New Roman" w:hAnsi="Times New Roman" w:cs="Times New Roman"/>
              </w:rPr>
            </w:pPr>
            <w:r>
              <w:rPr>
                <w:rFonts w:ascii="Times New Roman" w:hAnsi="Times New Roman" w:cs="Times New Roman"/>
                <w:szCs w:val="24"/>
              </w:rPr>
              <w:t xml:space="preserve"> 10.2</w:t>
            </w:r>
            <w:r w:rsidR="003C3EB0">
              <w:rPr>
                <w:rFonts w:ascii="Times New Roman" w:hAnsi="Times New Roman" w:cs="Times New Roman"/>
                <w:szCs w:val="24"/>
              </w:rPr>
              <w:t>5</w:t>
            </w:r>
            <w:r>
              <w:rPr>
                <w:rFonts w:ascii="Times New Roman" w:hAnsi="Times New Roman" w:cs="Times New Roman"/>
                <w:szCs w:val="24"/>
              </w:rPr>
              <w:t xml:space="preserve"> </w:t>
            </w:r>
            <w:r w:rsidR="00C454A1" w:rsidRPr="00C454A1">
              <w:rPr>
                <w:rFonts w:ascii="Times New Roman" w:hAnsi="Times New Roman" w:cs="Times New Roman"/>
                <w:szCs w:val="24"/>
              </w:rPr>
              <w:t>O início da contratação e da prestação dos serviços ocorrerá a partir da assinatura do contrato que terá vigência de 24 (vinte e quatro)meses, contados a partir da data de sua assinatura, podendo ser prorrogado, por iguais e sucessivos períodos, até o limite de 60 (sessenta) meses, conforme art.57, inciso II, da Lei 8.666/93 e preenchidos os requisitos do artigo 140 do Regulamento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jc w:val="both"/>
        <w:rPr>
          <w:rFonts w:ascii="Times New Roman" w:hAnsi="Times New Roman" w:cs="Times New Roman"/>
          <w:b/>
        </w:rPr>
      </w:pPr>
    </w:p>
    <w:p w:rsidR="0034057B" w:rsidRDefault="0034057B">
      <w:pPr>
        <w:widowControl/>
        <w:autoSpaceDE/>
        <w:autoSpaceDN/>
        <w:spacing w:after="160" w:line="259" w:lineRule="auto"/>
        <w:rPr>
          <w:rFonts w:ascii="Times New Roman" w:hAnsi="Times New Roman" w:cs="Times New Roman"/>
          <w:b/>
        </w:rPr>
      </w:pPr>
      <w:r>
        <w:rPr>
          <w:rFonts w:ascii="Times New Roman" w:hAnsi="Times New Roman" w:cs="Times New Roman"/>
          <w:b/>
        </w:rPr>
        <w:br w:type="page"/>
      </w:r>
    </w:p>
    <w:p w:rsidR="0020317A" w:rsidRPr="00FF6932" w:rsidRDefault="0034057B" w:rsidP="00FF6932">
      <w:pPr>
        <w:widowControl/>
        <w:numPr>
          <w:ilvl w:val="0"/>
          <w:numId w:val="6"/>
        </w:numPr>
        <w:autoSpaceDE/>
        <w:autoSpaceDN/>
        <w:ind w:left="0" w:firstLine="0"/>
        <w:jc w:val="both"/>
        <w:rPr>
          <w:rFonts w:ascii="Times New Roman" w:hAnsi="Times New Roman" w:cs="Times New Roman"/>
          <w:b/>
        </w:rPr>
      </w:pPr>
      <w:r>
        <w:rPr>
          <w:rFonts w:ascii="Times New Roman" w:hAnsi="Times New Roman" w:cs="Times New Roman"/>
          <w:b/>
        </w:rPr>
        <w:lastRenderedPageBreak/>
        <w:t>QUALIDADE TÉCNICA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34057B" w:rsidRPr="0034057B" w:rsidRDefault="003128AC" w:rsidP="0034057B">
            <w:pPr>
              <w:ind w:firstLine="34"/>
              <w:jc w:val="both"/>
              <w:rPr>
                <w:rFonts w:ascii="Times New Roman" w:hAnsi="Times New Roman" w:cs="Times New Roman"/>
              </w:rPr>
            </w:pPr>
            <w:r>
              <w:rPr>
                <w:rFonts w:ascii="Times New Roman" w:hAnsi="Times New Roman" w:cs="Times New Roman"/>
              </w:rPr>
              <w:t xml:space="preserve"> 11.1 </w:t>
            </w:r>
            <w:r w:rsidR="0034057B" w:rsidRPr="0034057B">
              <w:rPr>
                <w:rFonts w:ascii="Times New Roman" w:hAnsi="Times New Roman" w:cs="Times New Roman"/>
              </w:rPr>
              <w:t>O Licitante deverá apresentar certificado emitido pelo Conselho Regional de Medicina – CRM, comprovando sua inscrição naquele órgão como operadora de plano de saúde;</w:t>
            </w:r>
          </w:p>
          <w:p w:rsidR="0034057B" w:rsidRPr="0034057B" w:rsidRDefault="003128AC" w:rsidP="0034057B">
            <w:pPr>
              <w:ind w:firstLine="34"/>
              <w:jc w:val="both"/>
              <w:rPr>
                <w:rFonts w:ascii="Times New Roman" w:hAnsi="Times New Roman" w:cs="Times New Roman"/>
              </w:rPr>
            </w:pPr>
            <w:r>
              <w:rPr>
                <w:rFonts w:ascii="Times New Roman" w:hAnsi="Times New Roman" w:cs="Times New Roman"/>
              </w:rPr>
              <w:t xml:space="preserve"> 11.2 </w:t>
            </w:r>
            <w:r w:rsidR="0034057B" w:rsidRPr="0034057B">
              <w:rPr>
                <w:rFonts w:ascii="Times New Roman" w:hAnsi="Times New Roman" w:cs="Times New Roman"/>
              </w:rPr>
              <w:t>O Licitante deverá apresentar comprovação de aptidão de desempenho de atividade pertinente ao objeto deste termo de referência, por meio de Atestado de Capacidade Técnica, fornecido por pessoas jurídicas de direito público ou privado, de notória idoneidade;</w:t>
            </w:r>
          </w:p>
          <w:p w:rsidR="0034057B" w:rsidRPr="0034057B" w:rsidRDefault="003128AC" w:rsidP="0034057B">
            <w:pPr>
              <w:ind w:firstLine="34"/>
              <w:jc w:val="both"/>
              <w:rPr>
                <w:rFonts w:ascii="Times New Roman" w:hAnsi="Times New Roman" w:cs="Times New Roman"/>
              </w:rPr>
            </w:pPr>
            <w:r>
              <w:rPr>
                <w:rFonts w:ascii="Times New Roman" w:hAnsi="Times New Roman" w:cs="Times New Roman"/>
              </w:rPr>
              <w:t xml:space="preserve"> 11.3 </w:t>
            </w:r>
            <w:r w:rsidR="0034057B" w:rsidRPr="0034057B">
              <w:rPr>
                <w:rFonts w:ascii="Times New Roman" w:hAnsi="Times New Roman" w:cs="Times New Roman"/>
              </w:rPr>
              <w:t>O atestado deverá conter a identificação do signatário, ser apresentado em papel timbrando da empresa ou órgão declarante, claramente identificada a razão social e o CNPJ do licitante;</w:t>
            </w:r>
          </w:p>
          <w:p w:rsidR="0034057B" w:rsidRPr="0034057B" w:rsidRDefault="003128AC" w:rsidP="0034057B">
            <w:pPr>
              <w:ind w:firstLine="34"/>
              <w:jc w:val="both"/>
              <w:rPr>
                <w:rFonts w:ascii="Times New Roman" w:hAnsi="Times New Roman" w:cs="Times New Roman"/>
              </w:rPr>
            </w:pPr>
            <w:r>
              <w:rPr>
                <w:rFonts w:ascii="Times New Roman" w:hAnsi="Times New Roman" w:cs="Times New Roman"/>
              </w:rPr>
              <w:t xml:space="preserve"> 11.4 </w:t>
            </w:r>
            <w:r w:rsidR="0034057B" w:rsidRPr="0034057B">
              <w:rPr>
                <w:rFonts w:ascii="Times New Roman" w:hAnsi="Times New Roman" w:cs="Times New Roman"/>
              </w:rPr>
              <w:t>Comprovante de registro e autorização expedido pela Agência Nacional de Saúde Suplementar – ANS, de que o licitante atua como operadora de plano de saúde na condição de ativo. A comprovação da condição de ativo será mediante apresentação do número do registro, junto à ANS, de um plano de saúde por ele gerido;</w:t>
            </w:r>
          </w:p>
          <w:p w:rsidR="0034057B" w:rsidRPr="0034057B" w:rsidRDefault="003128AC" w:rsidP="0034057B">
            <w:pPr>
              <w:ind w:firstLine="34"/>
              <w:jc w:val="both"/>
              <w:rPr>
                <w:rFonts w:ascii="Times New Roman" w:hAnsi="Times New Roman" w:cs="Times New Roman"/>
              </w:rPr>
            </w:pPr>
            <w:r>
              <w:rPr>
                <w:rFonts w:ascii="Times New Roman" w:hAnsi="Times New Roman" w:cs="Times New Roman"/>
              </w:rPr>
              <w:t xml:space="preserve"> 11.5 </w:t>
            </w:r>
            <w:r w:rsidR="0034057B" w:rsidRPr="0034057B">
              <w:rPr>
                <w:rFonts w:ascii="Times New Roman" w:hAnsi="Times New Roman" w:cs="Times New Roman"/>
              </w:rPr>
              <w:t>Documentos que comprovem</w:t>
            </w:r>
            <w:r w:rsidR="0034057B">
              <w:rPr>
                <w:rFonts w:ascii="Times New Roman" w:hAnsi="Times New Roman" w:cs="Times New Roman"/>
              </w:rPr>
              <w:t xml:space="preserve"> </w:t>
            </w:r>
            <w:r w:rsidR="0034057B" w:rsidRPr="0034057B">
              <w:rPr>
                <w:rFonts w:ascii="Times New Roman" w:hAnsi="Times New Roman" w:cs="Times New Roman"/>
              </w:rPr>
              <w:t>possuir na rede credenciada de atendimento:</w:t>
            </w:r>
          </w:p>
          <w:p w:rsidR="0034057B" w:rsidRPr="0034057B" w:rsidRDefault="0034057B" w:rsidP="0034057B">
            <w:pPr>
              <w:ind w:firstLine="34"/>
              <w:jc w:val="both"/>
              <w:rPr>
                <w:rFonts w:ascii="Times New Roman" w:hAnsi="Times New Roman" w:cs="Times New Roman"/>
              </w:rPr>
            </w:pPr>
            <w:r w:rsidRPr="0034057B">
              <w:rPr>
                <w:rFonts w:ascii="Times New Roman" w:hAnsi="Times New Roman" w:cs="Times New Roman"/>
              </w:rPr>
              <w:t>a) Mínimo de 1.200 (mil e duzentos) médicos credenciados na Grande Florianópolis;</w:t>
            </w:r>
          </w:p>
          <w:p w:rsidR="0034057B" w:rsidRPr="0034057B" w:rsidRDefault="0034057B" w:rsidP="0034057B">
            <w:pPr>
              <w:ind w:firstLine="34"/>
              <w:jc w:val="both"/>
              <w:rPr>
                <w:rFonts w:ascii="Times New Roman" w:hAnsi="Times New Roman" w:cs="Times New Roman"/>
              </w:rPr>
            </w:pPr>
            <w:r w:rsidRPr="0034057B">
              <w:rPr>
                <w:rFonts w:ascii="Times New Roman" w:hAnsi="Times New Roman" w:cs="Times New Roman"/>
              </w:rPr>
              <w:t>b) Mínimo de 120 (cento e vinte) clínicas credenciadas na Grande Florianópolis;</w:t>
            </w:r>
          </w:p>
          <w:p w:rsidR="0034057B" w:rsidRPr="0034057B" w:rsidRDefault="0034057B" w:rsidP="0034057B">
            <w:pPr>
              <w:ind w:firstLine="34"/>
              <w:jc w:val="both"/>
              <w:rPr>
                <w:rFonts w:ascii="Times New Roman" w:hAnsi="Times New Roman" w:cs="Times New Roman"/>
              </w:rPr>
            </w:pPr>
            <w:r w:rsidRPr="0034057B">
              <w:rPr>
                <w:rFonts w:ascii="Times New Roman" w:hAnsi="Times New Roman" w:cs="Times New Roman"/>
              </w:rPr>
              <w:t>c) Mínimo de 40 (quarenta) laboratórios credenciados na Grande Florianópolis;</w:t>
            </w:r>
          </w:p>
          <w:p w:rsidR="0020317A" w:rsidRPr="0034057B" w:rsidRDefault="0034057B" w:rsidP="0034057B">
            <w:pPr>
              <w:ind w:firstLine="34"/>
              <w:jc w:val="both"/>
              <w:rPr>
                <w:rFonts w:ascii="Times New Roman" w:hAnsi="Times New Roman" w:cs="Times New Roman"/>
              </w:rPr>
            </w:pPr>
            <w:r w:rsidRPr="0034057B">
              <w:rPr>
                <w:rFonts w:ascii="Times New Roman" w:hAnsi="Times New Roman" w:cs="Times New Roman"/>
              </w:rPr>
              <w:t>d) Mínimo de 12 (doze) hospitais/maternidade</w:t>
            </w:r>
            <w:r>
              <w:rPr>
                <w:rFonts w:ascii="Times New Roman" w:hAnsi="Times New Roman" w:cs="Times New Roman"/>
              </w:rPr>
              <w:t xml:space="preserve"> </w:t>
            </w:r>
            <w:r w:rsidRPr="0034057B">
              <w:rPr>
                <w:rFonts w:ascii="Times New Roman" w:hAnsi="Times New Roman" w:cs="Times New Roman"/>
              </w:rPr>
              <w:t>na Grande Florianópolis.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FF6932" w:rsidRDefault="00155FE8" w:rsidP="00FF6932">
            <w:pPr>
              <w:jc w:val="both"/>
              <w:rPr>
                <w:rFonts w:ascii="Times New Roman" w:hAnsi="Times New Roman" w:cs="Times New Roman"/>
              </w:rPr>
            </w:pPr>
            <w:r w:rsidRPr="00FF6932">
              <w:rPr>
                <w:rFonts w:ascii="Times New Roman" w:hAnsi="Times New Roman" w:cs="Times New Roman"/>
              </w:rPr>
              <w:t xml:space="preserve">Pelo descumprimento total ou parcial do contrato ou cometimento de quaisquer infrações previstas no </w:t>
            </w:r>
            <w:r w:rsidRPr="00FF6932">
              <w:rPr>
                <w:rFonts w:ascii="Times New Roman" w:hAnsi="Times New Roman" w:cs="Times New Roman"/>
                <w:b/>
              </w:rPr>
              <w:t>artigo 162 do Regulamento Interno de Licitações e Contratos da SCPAR</w:t>
            </w:r>
            <w:r w:rsidRPr="00FF6932">
              <w:rPr>
                <w:rFonts w:ascii="Times New Roman" w:hAnsi="Times New Roman" w:cs="Times New Roman"/>
              </w:rPr>
              <w:t xml:space="preserve">, Termo de Referência, serão aplicadas penalidades ao </w:t>
            </w:r>
            <w:r w:rsidRPr="00FF6932">
              <w:rPr>
                <w:rFonts w:ascii="Times New Roman" w:hAnsi="Times New Roman" w:cs="Times New Roman"/>
                <w:b/>
              </w:rPr>
              <w:t>CONTRATADO</w:t>
            </w:r>
            <w:r w:rsidRPr="00FF6932">
              <w:rPr>
                <w:rFonts w:ascii="Times New Roman" w:hAnsi="Times New Roman" w:cs="Times New Roman"/>
              </w:rPr>
              <w:t xml:space="preserve"> previstas no contrato, em especial:</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b/>
              </w:rPr>
            </w:pPr>
            <w:r w:rsidRPr="00FF6932">
              <w:rPr>
                <w:rFonts w:ascii="Times New Roman" w:hAnsi="Times New Roman" w:cs="Times New Roman"/>
                <w:b/>
              </w:rPr>
              <w:t>advertência</w:t>
            </w:r>
            <w:r w:rsidRPr="00FF6932">
              <w:rPr>
                <w:rFonts w:ascii="Times New Roman" w:hAnsi="Times New Roman" w:cs="Times New Roman"/>
              </w:rPr>
              <w:t>;</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multa moratória de 0,33%</w:t>
            </w:r>
            <w:r w:rsidRPr="00FF6932">
              <w:rPr>
                <w:rFonts w:ascii="Times New Roman" w:hAnsi="Times New Roman" w:cs="Times New Roman"/>
              </w:rPr>
              <w:t xml:space="preserve"> por dia de atraso, na entrega do objeto, calculado sobre o valor correspondente à parte inadimplente (ou seja, somente sobre a parte não entregue/executada em atraso), até o limite de </w:t>
            </w:r>
            <w:r w:rsidRPr="00FF6932">
              <w:rPr>
                <w:rFonts w:ascii="Times New Roman" w:hAnsi="Times New Roman" w:cs="Times New Roman"/>
                <w:b/>
              </w:rPr>
              <w:t>9,9%</w:t>
            </w:r>
            <w:r w:rsidRPr="00FF6932">
              <w:rPr>
                <w:rFonts w:ascii="Times New Roman" w:hAnsi="Times New Roman" w:cs="Times New Roman"/>
              </w:rPr>
              <w:t xml:space="preserve"> sobre o valor da parcela não executada ou do saldo remanescente do contrato;</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suspensão temporária</w:t>
            </w:r>
            <w:r w:rsidRPr="00FF6932">
              <w:rPr>
                <w:rFonts w:ascii="Times New Roman" w:hAnsi="Times New Roman" w:cs="Times New Roman"/>
              </w:rPr>
              <w:t xml:space="preserve"> de licitar e contratar com a SCPAR, por </w:t>
            </w:r>
            <w:r w:rsidRPr="00FF6932">
              <w:rPr>
                <w:rFonts w:ascii="Times New Roman" w:hAnsi="Times New Roman" w:cs="Times New Roman"/>
                <w:b/>
              </w:rPr>
              <w:t>até 2 (dois) anos</w:t>
            </w:r>
            <w:r w:rsidRPr="00FF6932">
              <w:rPr>
                <w:rFonts w:ascii="Times New Roman" w:hAnsi="Times New Roman" w:cs="Times New Roman"/>
              </w:rPr>
              <w:t>.</w:t>
            </w:r>
          </w:p>
          <w:p w:rsidR="0020317A" w:rsidRPr="00FF6932" w:rsidRDefault="00155FE8" w:rsidP="00FF6932">
            <w:pPr>
              <w:jc w:val="both"/>
              <w:rPr>
                <w:rFonts w:ascii="Times New Roman" w:hAnsi="Times New Roman" w:cs="Times New Roman"/>
                <w:b/>
              </w:rPr>
            </w:pPr>
            <w:r w:rsidRPr="00FF6932">
              <w:rPr>
                <w:rFonts w:ascii="Times New Roman" w:hAnsi="Times New Roman" w:cs="Times New Roman"/>
              </w:rPr>
              <w:t xml:space="preserve">Os prazos, percentuais e procedimentos para a aplicação das penalidades são aqueles previstos nos </w:t>
            </w:r>
            <w:r w:rsidRPr="00FF6932">
              <w:rPr>
                <w:rFonts w:ascii="Times New Roman" w:hAnsi="Times New Roman" w:cs="Times New Roman"/>
                <w:b/>
              </w:rPr>
              <w:t>artigos 161 a 177 do Regulamento Interno de Licitações e Contratos da SCPAR</w:t>
            </w:r>
            <w:r w:rsidRPr="00FF6932">
              <w:rPr>
                <w:rFonts w:ascii="Times New Roman" w:hAnsi="Times New Roman" w:cs="Times New Roman"/>
              </w:rPr>
              <w:t>, os quais integram esse Termo de Referência para todos os efeitos.</w:t>
            </w:r>
          </w:p>
        </w:tc>
      </w:tr>
    </w:tbl>
    <w:p w:rsidR="0062503E" w:rsidRDefault="0062503E" w:rsidP="0062503E">
      <w:pPr>
        <w:widowControl/>
        <w:autoSpaceDE/>
        <w:autoSpaceDN/>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155FE8">
        <w:trPr>
          <w:trHeight w:val="322"/>
        </w:trPr>
        <w:tc>
          <w:tcPr>
            <w:tcW w:w="9805" w:type="dxa"/>
            <w:shd w:val="clear" w:color="auto" w:fill="auto"/>
          </w:tcPr>
          <w:p w:rsidR="0020317A" w:rsidRPr="00FF6932" w:rsidRDefault="00155FE8" w:rsidP="00FF6932">
            <w:pPr>
              <w:jc w:val="both"/>
              <w:rPr>
                <w:rFonts w:ascii="Times New Roman" w:hAnsi="Times New Roman" w:cs="Times New Roman"/>
                <w:b/>
                <w:color w:val="FF0000"/>
                <w:u w:val="single"/>
              </w:rPr>
            </w:pPr>
            <w:r w:rsidRPr="00FF6932">
              <w:rPr>
                <w:rFonts w:ascii="Times New Roman" w:hAnsi="Times New Roman" w:cs="Times New Roman"/>
              </w:rPr>
              <w:t>Fonte de recursos próprios.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3128AC" w:rsidP="00902269">
            <w:pPr>
              <w:jc w:val="both"/>
              <w:rPr>
                <w:rFonts w:ascii="Times New Roman" w:hAnsi="Times New Roman" w:cs="Times New Roman"/>
                <w:b/>
                <w:bCs/>
                <w:color w:val="FF0000"/>
              </w:rPr>
            </w:pPr>
            <w:r w:rsidRPr="00902269">
              <w:rPr>
                <w:rFonts w:ascii="Times New Roman" w:hAnsi="Times New Roman" w:cs="Times New Roman"/>
              </w:rPr>
              <w:t>As carteirinhas</w:t>
            </w:r>
            <w:r w:rsidR="00B35FE0" w:rsidRPr="00902269">
              <w:rPr>
                <w:rFonts w:ascii="Times New Roman" w:hAnsi="Times New Roman" w:cs="Times New Roman"/>
              </w:rPr>
              <w:t>,</w:t>
            </w:r>
            <w:r w:rsidRPr="00902269">
              <w:rPr>
                <w:rFonts w:ascii="Times New Roman" w:hAnsi="Times New Roman" w:cs="Times New Roman"/>
              </w:rPr>
              <w:t xml:space="preserve"> bem como quaisquer documentaç</w:t>
            </w:r>
            <w:r w:rsidR="00B35FE0" w:rsidRPr="00902269">
              <w:rPr>
                <w:rFonts w:ascii="Times New Roman" w:hAnsi="Times New Roman" w:cs="Times New Roman"/>
              </w:rPr>
              <w:t>ões,</w:t>
            </w:r>
            <w:r w:rsidRPr="00902269">
              <w:rPr>
                <w:rFonts w:ascii="Times New Roman" w:hAnsi="Times New Roman" w:cs="Times New Roman"/>
              </w:rPr>
              <w:t xml:space="preserve"> </w:t>
            </w:r>
            <w:r w:rsidR="00155FE8" w:rsidRPr="00902269">
              <w:rPr>
                <w:rFonts w:ascii="Times New Roman" w:hAnsi="Times New Roman" w:cs="Times New Roman"/>
              </w:rPr>
              <w:t xml:space="preserve">deverão ser entregues na </w:t>
            </w:r>
            <w:r w:rsidR="001B7790" w:rsidRPr="00902269">
              <w:rPr>
                <w:rFonts w:ascii="Times New Roman" w:hAnsi="Times New Roman" w:cs="Times New Roman"/>
              </w:rPr>
              <w:t>sede da SCPar</w:t>
            </w:r>
            <w:r w:rsidR="00155FE8" w:rsidRPr="00902269">
              <w:rPr>
                <w:rFonts w:ascii="Times New Roman" w:hAnsi="Times New Roman" w:cs="Times New Roman"/>
              </w:rPr>
              <w:t xml:space="preserve">, </w:t>
            </w:r>
            <w:r w:rsidR="001B7790" w:rsidRPr="00902269">
              <w:rPr>
                <w:rFonts w:ascii="Times New Roman" w:hAnsi="Times New Roman" w:cs="Times New Roman"/>
              </w:rPr>
              <w:t xml:space="preserve"> sito a Rodovia SC 401, km 5, n° 4.600, Bloco 4, 1° andar, Saco Grande, Florianópolis/SC, CEP: 88.032-005.</w:t>
            </w:r>
            <w:r w:rsidR="00155FE8" w:rsidRPr="00902269">
              <w:rPr>
                <w:rFonts w:ascii="Times New Roman" w:hAnsi="Times New Roman" w:cs="Times New Roman"/>
              </w:rPr>
              <w:t xml:space="preserve"> No seguinte horário: das </w:t>
            </w:r>
            <w:r w:rsidR="001B7790" w:rsidRPr="00902269">
              <w:rPr>
                <w:rFonts w:ascii="Times New Roman" w:hAnsi="Times New Roman" w:cs="Times New Roman"/>
              </w:rPr>
              <w:t>13:00</w:t>
            </w:r>
            <w:r w:rsidR="00155FE8" w:rsidRPr="00902269">
              <w:rPr>
                <w:rFonts w:ascii="Times New Roman" w:hAnsi="Times New Roman" w:cs="Times New Roman"/>
              </w:rPr>
              <w:t>h</w:t>
            </w:r>
            <w:r w:rsidR="001B7790" w:rsidRPr="00902269">
              <w:rPr>
                <w:rFonts w:ascii="Times New Roman" w:hAnsi="Times New Roman" w:cs="Times New Roman"/>
              </w:rPr>
              <w:t xml:space="preserve"> às 18:00h</w:t>
            </w:r>
            <w:r w:rsidR="00155FE8" w:rsidRPr="00902269">
              <w:rPr>
                <w:rFonts w:ascii="Times New Roman" w:hAnsi="Times New Roman" w:cs="Times New Roman"/>
              </w:rPr>
              <w:t xml:space="preserve"> de segunda a sexta feira. O responsável pelo recebimento</w:t>
            </w:r>
            <w:r w:rsidR="00B35FE0" w:rsidRPr="00902269">
              <w:rPr>
                <w:rFonts w:ascii="Times New Roman" w:hAnsi="Times New Roman" w:cs="Times New Roman"/>
              </w:rPr>
              <w:t xml:space="preserve"> e conferê</w:t>
            </w:r>
            <w:r w:rsidR="001B7790" w:rsidRPr="00902269">
              <w:rPr>
                <w:rFonts w:ascii="Times New Roman" w:hAnsi="Times New Roman" w:cs="Times New Roman"/>
              </w:rPr>
              <w:t xml:space="preserve">ncia </w:t>
            </w:r>
            <w:r w:rsidR="00902269">
              <w:rPr>
                <w:rFonts w:ascii="Times New Roman" w:hAnsi="Times New Roman" w:cs="Times New Roman"/>
              </w:rPr>
              <w:t>é a Chefia de Departamento Administrativo.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433325" w:rsidRPr="00433325" w:rsidRDefault="00433325" w:rsidP="00433325">
            <w:pPr>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433325">
              <w:rPr>
                <w:rFonts w:ascii="Times New Roman" w:hAnsi="Times New Roman" w:cs="Times New Roman"/>
              </w:rPr>
              <w:t>Gisele de Faria, Matrícula 000092-2, Chefe de Departamento de Administração</w:t>
            </w:r>
          </w:p>
          <w:p w:rsidR="00155FE8" w:rsidRPr="00433325" w:rsidRDefault="00433325" w:rsidP="00FF6932">
            <w:pPr>
              <w:jc w:val="both"/>
              <w:rPr>
                <w:rFonts w:ascii="Times New Roman" w:hAnsi="Times New Roman" w:cs="Times New Roman"/>
              </w:rPr>
            </w:pP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FF6932">
            <w:pPr>
              <w:jc w:val="both"/>
              <w:rPr>
                <w:rFonts w:ascii="Times New Roman" w:hAnsi="Times New Roman" w:cs="Times New Roman"/>
                <w:b/>
                <w:highlight w:val="yellow"/>
              </w:rPr>
            </w:pPr>
          </w:p>
          <w:p w:rsidR="00155FE8" w:rsidRPr="00433325" w:rsidRDefault="00155FE8" w:rsidP="00FF6932">
            <w:pPr>
              <w:tabs>
                <w:tab w:val="left" w:pos="9389"/>
              </w:tabs>
              <w:jc w:val="both"/>
              <w:rPr>
                <w:rFonts w:ascii="Times New Roman" w:hAnsi="Times New Roman" w:cs="Times New Roman"/>
              </w:rPr>
            </w:pPr>
            <w:r w:rsidRPr="00433325">
              <w:rPr>
                <w:rFonts w:ascii="Times New Roman" w:hAnsi="Times New Roman" w:cs="Times New Roman"/>
              </w:rPr>
              <w:lastRenderedPageBreak/>
              <w:t>Ciente.</w:t>
            </w:r>
          </w:p>
          <w:p w:rsidR="00155FE8" w:rsidRPr="00571E81" w:rsidRDefault="00155FE8" w:rsidP="00FF6932">
            <w:pPr>
              <w:tabs>
                <w:tab w:val="left" w:pos="9389"/>
              </w:tabs>
              <w:jc w:val="both"/>
              <w:rPr>
                <w:rFonts w:ascii="Times New Roman" w:hAnsi="Times New Roman" w:cs="Times New Roman"/>
                <w:highlight w:val="yellow"/>
              </w:rPr>
            </w:pP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Gisele de Faria</w:t>
            </w: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33325">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adjustRightInd w:val="0"/>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155FE8">
        <w:trPr>
          <w:trHeight w:val="1171"/>
        </w:trPr>
        <w:tc>
          <w:tcPr>
            <w:tcW w:w="9781" w:type="dxa"/>
            <w:vAlign w:val="center"/>
          </w:tcPr>
          <w:p w:rsidR="0020317A" w:rsidRPr="00FF6932" w:rsidRDefault="00155FE8" w:rsidP="00FF6932">
            <w:pPr>
              <w:adjustRightInd w:val="0"/>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CONDIÇÕES DE RECEBIMENTO/PRAZO DE ENTREGA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4112C3">
        <w:trPr>
          <w:trHeight w:val="132"/>
        </w:trPr>
        <w:tc>
          <w:tcPr>
            <w:tcW w:w="8612" w:type="dxa"/>
            <w:vAlign w:val="center"/>
          </w:tcPr>
          <w:p w:rsidR="00155FE8" w:rsidRPr="00902269" w:rsidRDefault="00155FE8" w:rsidP="00FF6932">
            <w:pPr>
              <w:jc w:val="both"/>
              <w:rPr>
                <w:rFonts w:ascii="Times New Roman" w:hAnsi="Times New Roman" w:cs="Times New Roman"/>
              </w:rPr>
            </w:pPr>
            <w:r w:rsidRPr="00902269">
              <w:rPr>
                <w:rFonts w:ascii="Times New Roman" w:hAnsi="Times New Roman" w:cs="Times New Roman"/>
                <w:b/>
              </w:rPr>
              <w:t>1) Dias e horários</w:t>
            </w:r>
            <w:r w:rsidRPr="00902269">
              <w:rPr>
                <w:rFonts w:ascii="Times New Roman" w:hAnsi="Times New Roman" w:cs="Times New Roman"/>
              </w:rPr>
              <w:t xml:space="preserve"> para entrega </w:t>
            </w:r>
            <w:r w:rsidR="00B35FE0" w:rsidRPr="00902269">
              <w:rPr>
                <w:rFonts w:ascii="Times New Roman" w:hAnsi="Times New Roman" w:cs="Times New Roman"/>
              </w:rPr>
              <w:t>das carteirinhas ou documentos,</w:t>
            </w:r>
            <w:r w:rsidR="00571E81" w:rsidRPr="00902269">
              <w:rPr>
                <w:rFonts w:ascii="Times New Roman" w:hAnsi="Times New Roman" w:cs="Times New Roman"/>
              </w:rPr>
              <w:t xml:space="preserve"> das 13:00h às 18:00h de segunda a sexta feira.</w:t>
            </w:r>
          </w:p>
          <w:p w:rsidR="0020317A" w:rsidRPr="00FF6932" w:rsidRDefault="004112C3" w:rsidP="00EB02FA">
            <w:pPr>
              <w:adjustRightInd w:val="0"/>
              <w:jc w:val="both"/>
              <w:rPr>
                <w:rFonts w:ascii="Times New Roman" w:hAnsi="Times New Roman" w:cs="Times New Roman"/>
              </w:rPr>
            </w:pPr>
            <w:r w:rsidRPr="00902269">
              <w:rPr>
                <w:rFonts w:ascii="Times New Roman" w:hAnsi="Times New Roman" w:cs="Times New Roman"/>
                <w:b/>
              </w:rPr>
              <w:t>2</w:t>
            </w:r>
            <w:r w:rsidR="00155FE8" w:rsidRPr="00902269">
              <w:rPr>
                <w:rFonts w:ascii="Times New Roman" w:hAnsi="Times New Roman" w:cs="Times New Roman"/>
                <w:b/>
              </w:rPr>
              <w:t>) Prazo para entrega</w:t>
            </w:r>
            <w:r w:rsidR="00571E81" w:rsidRPr="00902269">
              <w:rPr>
                <w:rFonts w:ascii="Times New Roman" w:hAnsi="Times New Roman" w:cs="Times New Roman"/>
              </w:rPr>
              <w:t>:  03 (três</w:t>
            </w:r>
            <w:r w:rsidR="00155FE8" w:rsidRPr="00902269">
              <w:rPr>
                <w:rFonts w:ascii="Times New Roman" w:hAnsi="Times New Roman" w:cs="Times New Roman"/>
              </w:rPr>
              <w:t>) dias a partir do envio da Autorização de Fornecimento, devendo ser rigorosamente cumprido, sob pena de aplicação das penalidades previstas no Regulamento Interno de Licitações e Contratos da SCPAR e neste Termo de Referência.</w:t>
            </w:r>
            <w:r w:rsidR="0020317A" w:rsidRPr="00FF6932">
              <w:rPr>
                <w:rFonts w:ascii="Times New Roman" w:hAnsi="Times New Roman" w:cs="Times New Roman"/>
              </w:rPr>
              <w:t xml:space="preserve"> </w:t>
            </w:r>
          </w:p>
        </w:tc>
      </w:tr>
    </w:tbl>
    <w:p w:rsidR="0020317A" w:rsidRDefault="0020317A" w:rsidP="00FF6932">
      <w:pPr>
        <w:widowControl/>
        <w:jc w:val="both"/>
        <w:rPr>
          <w:rFonts w:ascii="Times New Roman" w:hAnsi="Times New Roman" w:cs="Times New Roman"/>
          <w:b/>
        </w:rPr>
      </w:pPr>
    </w:p>
    <w:p w:rsidR="004112C3" w:rsidRPr="00FF6932" w:rsidRDefault="004112C3" w:rsidP="00FF6932">
      <w:pPr>
        <w:widowControl/>
        <w:jc w:val="both"/>
        <w:rPr>
          <w:rFonts w:ascii="Times New Roman" w:hAnsi="Times New Roman" w:cs="Times New Roman"/>
          <w:b/>
        </w:rPr>
      </w:pPr>
    </w:p>
    <w:p w:rsidR="0020317A" w:rsidRPr="00FF6932" w:rsidRDefault="003128AC" w:rsidP="003128AC">
      <w:pPr>
        <w:widowControl/>
        <w:autoSpaceDE/>
        <w:autoSpaceDN/>
        <w:spacing w:after="160" w:line="259" w:lineRule="auto"/>
        <w:rPr>
          <w:rFonts w:ascii="Times New Roman" w:hAnsi="Times New Roman" w:cs="Times New Roman"/>
          <w:b/>
        </w:rPr>
      </w:pPr>
      <w:r>
        <w:rPr>
          <w:rFonts w:ascii="Times New Roman" w:hAnsi="Times New Roman" w:cs="Times New Roman"/>
          <w:b/>
        </w:rPr>
        <w:t xml:space="preserve">18) </w:t>
      </w:r>
      <w:r>
        <w:rPr>
          <w:rFonts w:ascii="Times New Roman" w:hAnsi="Times New Roman" w:cs="Times New Roman"/>
          <w:b/>
        </w:rPr>
        <w:tab/>
      </w:r>
      <w:r w:rsidR="0020317A"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571E81" w:rsidP="00902269">
            <w:pPr>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902269">
              <w:rPr>
                <w:rFonts w:ascii="Times New Roman" w:hAnsi="Times New Roman" w:cs="Times New Roman"/>
              </w:rPr>
              <w:t>25</w:t>
            </w:r>
            <w:r w:rsidR="008D695C">
              <w:rPr>
                <w:rFonts w:ascii="Times New Roman" w:hAnsi="Times New Roman" w:cs="Times New Roman"/>
              </w:rPr>
              <w:t xml:space="preserve">de </w:t>
            </w:r>
            <w:r w:rsidR="003128AC">
              <w:rPr>
                <w:rFonts w:ascii="Times New Roman" w:hAnsi="Times New Roman" w:cs="Times New Roman"/>
              </w:rPr>
              <w:t>fevereiro</w:t>
            </w:r>
            <w:r w:rsidR="001E5BFA" w:rsidRPr="00FF6932">
              <w:rPr>
                <w:rFonts w:ascii="Times New Roman" w:hAnsi="Times New Roman" w:cs="Times New Roman"/>
              </w:rPr>
              <w:t xml:space="preserve"> de 202</w:t>
            </w:r>
            <w:r w:rsidR="00B355D6">
              <w:rPr>
                <w:rFonts w:ascii="Times New Roman" w:hAnsi="Times New Roman" w:cs="Times New Roman"/>
              </w:rPr>
              <w:t>2</w:t>
            </w:r>
            <w:r w:rsidR="001E5BFA"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3128AC" w:rsidP="003128AC">
      <w:pPr>
        <w:widowControl/>
        <w:autoSpaceDE/>
        <w:autoSpaceDN/>
        <w:jc w:val="both"/>
        <w:rPr>
          <w:rFonts w:ascii="Times New Roman" w:hAnsi="Times New Roman" w:cs="Times New Roman"/>
          <w:b/>
        </w:rPr>
      </w:pPr>
      <w:r>
        <w:rPr>
          <w:rFonts w:ascii="Times New Roman" w:hAnsi="Times New Roman" w:cs="Times New Roman"/>
          <w:b/>
        </w:rPr>
        <w:t xml:space="preserve">19) </w:t>
      </w:r>
      <w:r>
        <w:rPr>
          <w:rFonts w:ascii="Times New Roman" w:hAnsi="Times New Roman" w:cs="Times New Roman"/>
          <w:b/>
        </w:rPr>
        <w:tab/>
      </w:r>
      <w:r w:rsidR="0020317A"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433325">
              <w:rPr>
                <w:rFonts w:ascii="Times New Roman" w:hAnsi="Times New Roman" w:cs="Times New Roman"/>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matrícula </w:t>
            </w:r>
            <w:r w:rsidR="00433325" w:rsidRPr="00433325">
              <w:rPr>
                <w:rStyle w:val="nfaseIntensa"/>
                <w:rFonts w:ascii="Times New Roman" w:hAnsi="Times New Roman" w:cs="Times New Roman"/>
                <w:sz w:val="22"/>
              </w:rPr>
              <w:t>000263-1.</w:t>
            </w:r>
          </w:p>
          <w:p w:rsidR="00FF6932" w:rsidRPr="00433325" w:rsidRDefault="00FF6932" w:rsidP="00FF6932">
            <w:pPr>
              <w:jc w:val="both"/>
              <w:rPr>
                <w:rFonts w:ascii="Times New Roman" w:hAnsi="Times New Roman" w:cs="Times New Roman"/>
                <w:b/>
              </w:rPr>
            </w:pP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FF6932">
            <w:pPr>
              <w:tabs>
                <w:tab w:val="left" w:pos="9389"/>
              </w:tabs>
              <w:jc w:val="both"/>
              <w:rPr>
                <w:rFonts w:ascii="Times New Roman" w:hAnsi="Times New Roman" w:cs="Times New Roman"/>
              </w:rPr>
            </w:pPr>
          </w:p>
          <w:p w:rsidR="00FF6932" w:rsidRPr="00433325" w:rsidRDefault="00433325" w:rsidP="00FF6932">
            <w:pPr>
              <w:tabs>
                <w:tab w:val="left" w:pos="9389"/>
              </w:tabs>
              <w:jc w:val="both"/>
              <w:rPr>
                <w:rFonts w:ascii="Times New Roman" w:hAnsi="Times New Roman" w:cs="Times New Roman"/>
              </w:rPr>
            </w:pPr>
            <w:r w:rsidRPr="00433325">
              <w:rPr>
                <w:rFonts w:ascii="Times New Roman" w:hAnsi="Times New Roman" w:cs="Times New Roman"/>
              </w:rPr>
              <w:t>Jefferson Machado Macarini</w:t>
            </w: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20317A" w:rsidRPr="00FF6932" w:rsidRDefault="0020317A" w:rsidP="00FF6932">
      <w:pPr>
        <w:widowControl/>
        <w:jc w:val="both"/>
        <w:rPr>
          <w:rFonts w:ascii="Times New Roman" w:hAnsi="Times New Roman" w:cs="Times New Roman"/>
          <w:b/>
        </w:rPr>
      </w:pPr>
    </w:p>
    <w:p w:rsidR="0020317A" w:rsidRPr="00FF6932" w:rsidRDefault="003128AC" w:rsidP="003128AC">
      <w:pPr>
        <w:widowControl/>
        <w:autoSpaceDE/>
        <w:autoSpaceDN/>
        <w:jc w:val="both"/>
        <w:rPr>
          <w:rFonts w:ascii="Times New Roman" w:hAnsi="Times New Roman" w:cs="Times New Roman"/>
          <w:b/>
        </w:rPr>
      </w:pPr>
      <w:r>
        <w:rPr>
          <w:rFonts w:ascii="Times New Roman" w:hAnsi="Times New Roman" w:cs="Times New Roman"/>
          <w:b/>
        </w:rPr>
        <w:t>20)</w:t>
      </w:r>
      <w:r>
        <w:rPr>
          <w:rFonts w:ascii="Times New Roman" w:hAnsi="Times New Roman" w:cs="Times New Roman"/>
          <w:b/>
        </w:rPr>
        <w:tab/>
      </w:r>
      <w:r w:rsidR="0020317A" w:rsidRPr="00FF6932">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Default="00FF6932" w:rsidP="00FF6932">
            <w:pPr>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FF6932">
            <w:pPr>
              <w:jc w:val="both"/>
              <w:rPr>
                <w:rFonts w:ascii="Times New Roman" w:hAnsi="Times New Roman" w:cs="Times New Roman"/>
              </w:rPr>
            </w:pPr>
          </w:p>
          <w:p w:rsidR="00433325" w:rsidRPr="00FF6932" w:rsidRDefault="00433325" w:rsidP="00FF6932">
            <w:pPr>
              <w:jc w:val="both"/>
              <w:rPr>
                <w:rFonts w:ascii="Times New Roman" w:hAnsi="Times New Roman" w:cs="Times New Roman"/>
              </w:rPr>
            </w:pPr>
            <w:r>
              <w:rPr>
                <w:rFonts w:ascii="Times New Roman" w:hAnsi="Times New Roman" w:cs="Times New Roman"/>
              </w:rPr>
              <w:t>Ciente.</w:t>
            </w:r>
          </w:p>
          <w:p w:rsidR="00FF6932" w:rsidRPr="00FF6932" w:rsidRDefault="00FF6932" w:rsidP="00FF6932">
            <w:pPr>
              <w:jc w:val="both"/>
              <w:rPr>
                <w:rFonts w:ascii="Times New Roman" w:hAnsi="Times New Roman" w:cs="Times New Roman"/>
              </w:rPr>
            </w:pPr>
          </w:p>
          <w:p w:rsidR="00FF6932" w:rsidRPr="00433325" w:rsidRDefault="00433325" w:rsidP="00FF6932">
            <w:pPr>
              <w:jc w:val="both"/>
              <w:rPr>
                <w:rFonts w:ascii="Times New Roman" w:hAnsi="Times New Roman" w:cs="Times New Roman"/>
              </w:rPr>
            </w:pPr>
            <w:r w:rsidRPr="00433325">
              <w:rPr>
                <w:rFonts w:ascii="Times New Roman" w:hAnsi="Times New Roman" w:cs="Times New Roman"/>
              </w:rPr>
              <w:t>Gisele de Faria</w:t>
            </w:r>
          </w:p>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FF6932">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33325">
            <w:pPr>
              <w:jc w:val="both"/>
              <w:rPr>
                <w:rFonts w:ascii="Times New Roman" w:hAnsi="Times New Roman" w:cs="Times New Roman"/>
              </w:rPr>
            </w:pPr>
            <w:r w:rsidRPr="00433325">
              <w:rPr>
                <w:rFonts w:ascii="Times New Roman" w:hAnsi="Times New Roman" w:cs="Times New Roman"/>
              </w:rPr>
              <w:t>(assinatura eletrônica)</w:t>
            </w:r>
          </w:p>
        </w:tc>
      </w:tr>
    </w:tbl>
    <w:p w:rsidR="00843754" w:rsidRDefault="00843754">
      <w:pPr>
        <w:widowControl/>
        <w:autoSpaceDE/>
        <w:autoSpaceDN/>
        <w:spacing w:after="160" w:line="259" w:lineRule="auto"/>
        <w:rPr>
          <w:rFonts w:ascii="Times New Roman" w:eastAsia="Times New Roman" w:hAnsi="Times New Roman" w:cs="Times New Roman"/>
          <w:snapToGrid w:val="0"/>
          <w:lang w:val="pt-BR" w:eastAsia="pt-BR" w:bidi="ar-SA"/>
        </w:rPr>
      </w:pPr>
      <w:bookmarkStart w:id="1" w:name="_Toc518548449"/>
      <w:bookmarkEnd w:id="0"/>
    </w:p>
    <w:p w:rsidR="00A055E9" w:rsidRDefault="00A055E9" w:rsidP="00A055E9">
      <w:pPr>
        <w:pStyle w:val="Estilo1"/>
        <w:tabs>
          <w:tab w:val="clear" w:pos="2268"/>
        </w:tabs>
        <w:ind w:left="0" w:firstLine="0"/>
        <w:jc w:val="center"/>
        <w:rPr>
          <w:b/>
          <w:sz w:val="22"/>
          <w:szCs w:val="22"/>
        </w:rPr>
      </w:pPr>
    </w:p>
    <w:p w:rsidR="00A055E9" w:rsidRDefault="00A055E9" w:rsidP="00A055E9">
      <w:pPr>
        <w:pStyle w:val="Estilo1"/>
        <w:tabs>
          <w:tab w:val="clear" w:pos="2268"/>
        </w:tabs>
        <w:ind w:left="0" w:firstLine="0"/>
        <w:jc w:val="center"/>
        <w:rPr>
          <w:b/>
          <w:sz w:val="22"/>
          <w:szCs w:val="22"/>
        </w:rPr>
      </w:pPr>
    </w:p>
    <w:p w:rsidR="00A055E9" w:rsidRDefault="00A055E9" w:rsidP="00A055E9">
      <w:pPr>
        <w:pStyle w:val="Estilo1"/>
        <w:tabs>
          <w:tab w:val="clear" w:pos="2268"/>
        </w:tabs>
        <w:ind w:left="0" w:firstLine="0"/>
        <w:jc w:val="center"/>
        <w:rPr>
          <w:b/>
          <w:sz w:val="22"/>
          <w:szCs w:val="22"/>
        </w:rPr>
      </w:pPr>
      <w:r w:rsidRPr="0057291B">
        <w:rPr>
          <w:b/>
          <w:sz w:val="22"/>
          <w:szCs w:val="22"/>
        </w:rPr>
        <w:t>ANEXO I</w:t>
      </w:r>
    </w:p>
    <w:p w:rsidR="00843754" w:rsidRDefault="00843754">
      <w:pPr>
        <w:widowControl/>
        <w:autoSpaceDE/>
        <w:autoSpaceDN/>
        <w:spacing w:after="160" w:line="259" w:lineRule="auto"/>
        <w:rPr>
          <w:rFonts w:ascii="Times New Roman" w:eastAsia="Times New Roman" w:hAnsi="Times New Roman" w:cs="Times New Roman"/>
          <w:snapToGrid w:val="0"/>
          <w:lang w:val="pt-BR" w:eastAsia="pt-BR" w:bidi="ar-SA"/>
        </w:rPr>
      </w:pPr>
    </w:p>
    <w:tbl>
      <w:tblPr>
        <w:tblpPr w:leftFromText="141" w:rightFromText="141" w:vertAnchor="page" w:horzAnchor="margin" w:tblpXSpec="center" w:tblpY="3436"/>
        <w:tblW w:w="6941" w:type="dxa"/>
        <w:tblLayout w:type="fixed"/>
        <w:tblCellMar>
          <w:left w:w="70" w:type="dxa"/>
          <w:right w:w="70" w:type="dxa"/>
        </w:tblCellMar>
        <w:tblLook w:val="0000"/>
      </w:tblPr>
      <w:tblGrid>
        <w:gridCol w:w="1709"/>
        <w:gridCol w:w="1046"/>
        <w:gridCol w:w="1047"/>
        <w:gridCol w:w="1046"/>
        <w:gridCol w:w="1046"/>
        <w:gridCol w:w="1047"/>
      </w:tblGrid>
      <w:tr w:rsidR="006A499B" w:rsidTr="006A499B">
        <w:trPr>
          <w:trHeight w:val="305"/>
        </w:trPr>
        <w:tc>
          <w:tcPr>
            <w:tcW w:w="1709" w:type="dxa"/>
            <w:tcBorders>
              <w:top w:val="nil"/>
              <w:left w:val="nil"/>
              <w:bottom w:val="nil"/>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FAIXA ETÁRIA</w:t>
            </w:r>
          </w:p>
        </w:tc>
        <w:tc>
          <w:tcPr>
            <w:tcW w:w="2093" w:type="dxa"/>
            <w:gridSpan w:val="2"/>
            <w:tcBorders>
              <w:top w:val="single" w:sz="12" w:space="0" w:color="C0C0C0"/>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TITULARES</w:t>
            </w:r>
          </w:p>
        </w:tc>
        <w:tc>
          <w:tcPr>
            <w:tcW w:w="2092" w:type="dxa"/>
            <w:gridSpan w:val="2"/>
            <w:tcBorders>
              <w:top w:val="single" w:sz="12" w:space="0" w:color="C0C0C0"/>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DEPENDENTES</w:t>
            </w:r>
          </w:p>
        </w:tc>
        <w:tc>
          <w:tcPr>
            <w:tcW w:w="1047" w:type="dxa"/>
            <w:tcBorders>
              <w:top w:val="nil"/>
              <w:left w:val="single" w:sz="12" w:space="0" w:color="C0C0C0"/>
              <w:bottom w:val="nil"/>
              <w:right w:val="nil"/>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TOTAL</w:t>
            </w:r>
          </w:p>
        </w:tc>
      </w:tr>
      <w:tr w:rsidR="006A499B" w:rsidTr="006A499B">
        <w:trPr>
          <w:trHeight w:val="857"/>
        </w:trPr>
        <w:tc>
          <w:tcPr>
            <w:tcW w:w="1709" w:type="dxa"/>
            <w:tcBorders>
              <w:top w:val="nil"/>
              <w:left w:val="nil"/>
              <w:bottom w:val="single" w:sz="12" w:space="0" w:color="C0C0C0"/>
              <w:right w:val="single" w:sz="12" w:space="0" w:color="C0C0C0"/>
            </w:tcBorders>
            <w:shd w:val="solid" w:color="C0C0C0" w:fill="auto"/>
          </w:tcPr>
          <w:p w:rsidR="006A499B" w:rsidRDefault="006A499B" w:rsidP="006A499B">
            <w:pPr>
              <w:adjustRightInd w:val="0"/>
              <w:jc w:val="center"/>
              <w:rPr>
                <w:b/>
                <w:bCs/>
                <w:color w:val="000000"/>
                <w:sz w:val="20"/>
                <w:szCs w:val="20"/>
              </w:rPr>
            </w:pPr>
          </w:p>
        </w:tc>
        <w:tc>
          <w:tcPr>
            <w:tcW w:w="1046" w:type="dxa"/>
            <w:tcBorders>
              <w:top w:val="nil"/>
              <w:left w:val="nil"/>
              <w:bottom w:val="single" w:sz="12" w:space="0" w:color="C0C0C0"/>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MASC.</w:t>
            </w:r>
          </w:p>
        </w:tc>
        <w:tc>
          <w:tcPr>
            <w:tcW w:w="1047" w:type="dxa"/>
            <w:tcBorders>
              <w:top w:val="nil"/>
              <w:left w:val="nil"/>
              <w:bottom w:val="single" w:sz="12" w:space="0" w:color="C0C0C0"/>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FEM.</w:t>
            </w:r>
          </w:p>
        </w:tc>
        <w:tc>
          <w:tcPr>
            <w:tcW w:w="1046" w:type="dxa"/>
            <w:tcBorders>
              <w:top w:val="nil"/>
              <w:left w:val="nil"/>
              <w:bottom w:val="single" w:sz="12" w:space="0" w:color="C0C0C0"/>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MASC.</w:t>
            </w:r>
          </w:p>
        </w:tc>
        <w:tc>
          <w:tcPr>
            <w:tcW w:w="1046" w:type="dxa"/>
            <w:tcBorders>
              <w:top w:val="nil"/>
              <w:left w:val="nil"/>
              <w:bottom w:val="single" w:sz="12" w:space="0" w:color="C0C0C0"/>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FEM.</w:t>
            </w:r>
          </w:p>
        </w:tc>
        <w:tc>
          <w:tcPr>
            <w:tcW w:w="1047" w:type="dxa"/>
            <w:tcBorders>
              <w:top w:val="nil"/>
              <w:left w:val="single" w:sz="12" w:space="0" w:color="C0C0C0"/>
              <w:bottom w:val="single" w:sz="12" w:space="0" w:color="C0C0C0"/>
              <w:right w:val="nil"/>
            </w:tcBorders>
            <w:shd w:val="solid" w:color="C0C0C0" w:fill="auto"/>
          </w:tcPr>
          <w:p w:rsidR="006A499B" w:rsidRDefault="006A499B" w:rsidP="006A499B">
            <w:pPr>
              <w:adjustRightInd w:val="0"/>
              <w:jc w:val="center"/>
              <w:rPr>
                <w:b/>
                <w:bCs/>
                <w:color w:val="000000"/>
                <w:sz w:val="20"/>
                <w:szCs w:val="20"/>
              </w:rPr>
            </w:pP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00 A 18</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7"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15</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11</w:t>
            </w: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26</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19 A 23</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7"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bookmarkStart w:id="2" w:name="_GoBack"/>
            <w:bookmarkEnd w:id="2"/>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2</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2</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24 A 28</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7"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1</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29 A 33</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7"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3</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34 A 38</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3</w:t>
            </w:r>
          </w:p>
        </w:tc>
        <w:tc>
          <w:tcPr>
            <w:tcW w:w="1047"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2</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7</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39 A 43</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5</w:t>
            </w:r>
          </w:p>
        </w:tc>
        <w:tc>
          <w:tcPr>
            <w:tcW w:w="1047"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4</w:t>
            </w: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10</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44 A 48</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5</w:t>
            </w:r>
          </w:p>
        </w:tc>
        <w:tc>
          <w:tcPr>
            <w:tcW w:w="1047"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4</w:t>
            </w: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10</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49 A 53</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3</w:t>
            </w:r>
          </w:p>
        </w:tc>
        <w:tc>
          <w:tcPr>
            <w:tcW w:w="1047"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5</w:t>
            </w: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8</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54 A 58</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2</w:t>
            </w:r>
          </w:p>
        </w:tc>
        <w:tc>
          <w:tcPr>
            <w:tcW w:w="1047"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2</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4</w:t>
            </w:r>
          </w:p>
        </w:tc>
      </w:tr>
      <w:tr w:rsidR="006A499B" w:rsidTr="006A499B">
        <w:trPr>
          <w:trHeight w:val="305"/>
        </w:trPr>
        <w:tc>
          <w:tcPr>
            <w:tcW w:w="1709" w:type="dxa"/>
            <w:tcBorders>
              <w:top w:val="nil"/>
              <w:left w:val="single" w:sz="12" w:space="0" w:color="C0C0C0"/>
              <w:bottom w:val="single" w:sz="12" w:space="0" w:color="C0C0C0"/>
              <w:right w:val="single" w:sz="12" w:space="0" w:color="C0C0C0"/>
            </w:tcBorders>
            <w:shd w:val="solid" w:color="C0C0C0" w:fill="auto"/>
          </w:tcPr>
          <w:p w:rsidR="006A499B" w:rsidRDefault="006A499B" w:rsidP="006A499B">
            <w:pPr>
              <w:adjustRightInd w:val="0"/>
              <w:jc w:val="center"/>
              <w:rPr>
                <w:color w:val="000000"/>
                <w:sz w:val="20"/>
                <w:szCs w:val="20"/>
              </w:rPr>
            </w:pPr>
            <w:r>
              <w:rPr>
                <w:color w:val="000000"/>
                <w:sz w:val="20"/>
                <w:szCs w:val="20"/>
              </w:rPr>
              <w:t>59 OU +</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7" w:type="dxa"/>
            <w:tcBorders>
              <w:top w:val="nil"/>
              <w:left w:val="nil"/>
              <w:bottom w:val="single" w:sz="12" w:space="0" w:color="C0C0C0"/>
              <w:right w:val="single" w:sz="12" w:space="0" w:color="C0C0C0"/>
            </w:tcBorders>
          </w:tcPr>
          <w:p w:rsidR="006A499B" w:rsidRDefault="006A499B" w:rsidP="006A499B">
            <w:pPr>
              <w:adjustRightInd w:val="0"/>
              <w:jc w:val="right"/>
              <w:rPr>
                <w:color w:val="000000"/>
                <w:sz w:val="20"/>
                <w:szCs w:val="20"/>
              </w:rPr>
            </w:pP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1</w:t>
            </w:r>
          </w:p>
        </w:tc>
        <w:tc>
          <w:tcPr>
            <w:tcW w:w="1046" w:type="dxa"/>
            <w:tcBorders>
              <w:top w:val="nil"/>
              <w:left w:val="nil"/>
              <w:bottom w:val="single" w:sz="12" w:space="0" w:color="C0C0C0"/>
              <w:right w:val="single" w:sz="12" w:space="0" w:color="C0C0C0"/>
            </w:tcBorders>
          </w:tcPr>
          <w:p w:rsidR="006A499B" w:rsidRDefault="006A499B" w:rsidP="006A499B">
            <w:pPr>
              <w:adjustRightInd w:val="0"/>
              <w:jc w:val="center"/>
              <w:rPr>
                <w:color w:val="000000"/>
                <w:sz w:val="20"/>
                <w:szCs w:val="20"/>
              </w:rPr>
            </w:pPr>
            <w:r>
              <w:rPr>
                <w:color w:val="000000"/>
                <w:sz w:val="20"/>
                <w:szCs w:val="20"/>
              </w:rPr>
              <w:t>4</w:t>
            </w:r>
          </w:p>
        </w:tc>
        <w:tc>
          <w:tcPr>
            <w:tcW w:w="1047" w:type="dxa"/>
            <w:tcBorders>
              <w:top w:val="nil"/>
              <w:left w:val="nil"/>
              <w:bottom w:val="nil"/>
              <w:right w:val="nil"/>
            </w:tcBorders>
            <w:shd w:val="solid" w:color="C0C0C0" w:fill="auto"/>
          </w:tcPr>
          <w:p w:rsidR="006A499B" w:rsidRDefault="006A499B" w:rsidP="006A499B">
            <w:pPr>
              <w:adjustRightInd w:val="0"/>
              <w:jc w:val="center"/>
              <w:rPr>
                <w:color w:val="000000"/>
                <w:sz w:val="20"/>
                <w:szCs w:val="20"/>
              </w:rPr>
            </w:pPr>
            <w:r>
              <w:rPr>
                <w:color w:val="000000"/>
                <w:sz w:val="20"/>
                <w:szCs w:val="20"/>
              </w:rPr>
              <w:t>5</w:t>
            </w:r>
          </w:p>
        </w:tc>
      </w:tr>
      <w:tr w:rsidR="006A499B" w:rsidTr="006A499B">
        <w:trPr>
          <w:trHeight w:val="290"/>
        </w:trPr>
        <w:tc>
          <w:tcPr>
            <w:tcW w:w="1709" w:type="dxa"/>
            <w:tcBorders>
              <w:top w:val="nil"/>
              <w:left w:val="single" w:sz="12" w:space="0" w:color="C0C0C0"/>
              <w:bottom w:val="nil"/>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TOTAL</w:t>
            </w:r>
          </w:p>
        </w:tc>
        <w:tc>
          <w:tcPr>
            <w:tcW w:w="1046" w:type="dxa"/>
            <w:tcBorders>
              <w:top w:val="nil"/>
              <w:left w:val="nil"/>
              <w:bottom w:val="nil"/>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22</w:t>
            </w:r>
          </w:p>
        </w:tc>
        <w:tc>
          <w:tcPr>
            <w:tcW w:w="1047" w:type="dxa"/>
            <w:tcBorders>
              <w:top w:val="nil"/>
              <w:left w:val="nil"/>
              <w:bottom w:val="nil"/>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6</w:t>
            </w:r>
          </w:p>
        </w:tc>
        <w:tc>
          <w:tcPr>
            <w:tcW w:w="1046" w:type="dxa"/>
            <w:tcBorders>
              <w:top w:val="nil"/>
              <w:left w:val="nil"/>
              <w:bottom w:val="nil"/>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20</w:t>
            </w:r>
          </w:p>
        </w:tc>
        <w:tc>
          <w:tcPr>
            <w:tcW w:w="1046" w:type="dxa"/>
            <w:tcBorders>
              <w:top w:val="nil"/>
              <w:left w:val="nil"/>
              <w:bottom w:val="nil"/>
              <w:right w:val="single" w:sz="12" w:space="0" w:color="C0C0C0"/>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27</w:t>
            </w:r>
          </w:p>
        </w:tc>
        <w:tc>
          <w:tcPr>
            <w:tcW w:w="1047" w:type="dxa"/>
            <w:tcBorders>
              <w:top w:val="nil"/>
              <w:left w:val="nil"/>
              <w:bottom w:val="nil"/>
              <w:right w:val="nil"/>
            </w:tcBorders>
            <w:shd w:val="solid" w:color="C0C0C0" w:fill="auto"/>
          </w:tcPr>
          <w:p w:rsidR="006A499B" w:rsidRDefault="006A499B" w:rsidP="006A499B">
            <w:pPr>
              <w:adjustRightInd w:val="0"/>
              <w:jc w:val="center"/>
              <w:rPr>
                <w:b/>
                <w:bCs/>
                <w:color w:val="000000"/>
                <w:sz w:val="20"/>
                <w:szCs w:val="20"/>
              </w:rPr>
            </w:pPr>
            <w:r>
              <w:rPr>
                <w:b/>
                <w:bCs/>
                <w:color w:val="000000"/>
                <w:sz w:val="20"/>
                <w:szCs w:val="20"/>
              </w:rPr>
              <w:t>76</w:t>
            </w:r>
          </w:p>
        </w:tc>
      </w:tr>
    </w:tbl>
    <w:p w:rsidR="00A055E9" w:rsidRDefault="00A055E9">
      <w:pPr>
        <w:widowControl/>
        <w:autoSpaceDE/>
        <w:autoSpaceDN/>
        <w:spacing w:after="160" w:line="259" w:lineRule="auto"/>
        <w:rPr>
          <w:rFonts w:ascii="Times New Roman" w:eastAsia="Times New Roman" w:hAnsi="Times New Roman" w:cs="Times New Roman"/>
          <w:snapToGrid w:val="0"/>
          <w:lang w:val="pt-BR" w:eastAsia="pt-BR" w:bidi="ar-SA"/>
        </w:rPr>
      </w:pPr>
    </w:p>
    <w:p w:rsidR="00A055E9" w:rsidRDefault="00A055E9">
      <w:pPr>
        <w:widowControl/>
        <w:autoSpaceDE/>
        <w:autoSpaceDN/>
        <w:spacing w:after="160" w:line="259" w:lineRule="auto"/>
        <w:rPr>
          <w:rFonts w:ascii="Times New Roman" w:eastAsia="Times New Roman" w:hAnsi="Times New Roman" w:cs="Times New Roman"/>
          <w:snapToGrid w:val="0"/>
          <w:lang w:val="pt-BR" w:eastAsia="pt-BR" w:bidi="ar-SA"/>
        </w:rPr>
      </w:pPr>
    </w:p>
    <w:p w:rsidR="00A055E9" w:rsidRDefault="00A055E9">
      <w:pPr>
        <w:widowControl/>
        <w:autoSpaceDE/>
        <w:autoSpaceDN/>
        <w:spacing w:after="160" w:line="259" w:lineRule="auto"/>
        <w:rPr>
          <w:rFonts w:ascii="Times New Roman" w:eastAsia="Times New Roman" w:hAnsi="Times New Roman" w:cs="Times New Roman"/>
          <w:snapToGrid w:val="0"/>
          <w:lang w:val="pt-BR" w:eastAsia="pt-BR" w:bidi="ar-SA"/>
        </w:rPr>
      </w:pPr>
    </w:p>
    <w:p w:rsidR="00A055E9" w:rsidRDefault="00A055E9">
      <w:pPr>
        <w:widowControl/>
        <w:autoSpaceDE/>
        <w:autoSpaceDN/>
        <w:spacing w:after="160" w:line="259" w:lineRule="auto"/>
        <w:rPr>
          <w:rFonts w:ascii="Times New Roman" w:eastAsia="Times New Roman" w:hAnsi="Times New Roman" w:cs="Times New Roman"/>
          <w:snapToGrid w:val="0"/>
          <w:lang w:val="pt-BR" w:eastAsia="pt-BR" w:bidi="ar-SA"/>
        </w:rPr>
      </w:pPr>
    </w:p>
    <w:p w:rsidR="0057291B" w:rsidRPr="0057291B" w:rsidRDefault="0057291B" w:rsidP="008401B2">
      <w:pPr>
        <w:pStyle w:val="Estilo1"/>
        <w:tabs>
          <w:tab w:val="clear" w:pos="2268"/>
        </w:tabs>
        <w:ind w:left="0" w:firstLine="0"/>
        <w:jc w:val="center"/>
        <w:rPr>
          <w:sz w:val="22"/>
          <w:szCs w:val="22"/>
        </w:rPr>
      </w:pPr>
    </w:p>
    <w:p w:rsidR="00A715D0" w:rsidRDefault="00A715D0" w:rsidP="008401B2">
      <w:pPr>
        <w:pStyle w:val="Estilo1"/>
        <w:tabs>
          <w:tab w:val="clear" w:pos="2268"/>
        </w:tabs>
        <w:ind w:left="0" w:firstLine="0"/>
        <w:jc w:val="center"/>
        <w:rPr>
          <w:b/>
          <w:sz w:val="22"/>
          <w:szCs w:val="22"/>
        </w:rPr>
      </w:pPr>
    </w:p>
    <w:p w:rsidR="00A715D0" w:rsidRDefault="00A715D0" w:rsidP="008401B2">
      <w:pPr>
        <w:pStyle w:val="Estilo1"/>
        <w:tabs>
          <w:tab w:val="clear" w:pos="2268"/>
        </w:tabs>
        <w:ind w:left="0" w:firstLine="0"/>
        <w:jc w:val="center"/>
        <w:rPr>
          <w:b/>
          <w:sz w:val="22"/>
          <w:szCs w:val="22"/>
        </w:rPr>
      </w:pPr>
    </w:p>
    <w:p w:rsidR="00A715D0" w:rsidRDefault="00A715D0" w:rsidP="00A715D0">
      <w:pPr>
        <w:pStyle w:val="Estilo1"/>
        <w:tabs>
          <w:tab w:val="clear" w:pos="2268"/>
        </w:tabs>
        <w:ind w:left="0" w:firstLine="0"/>
        <w:rPr>
          <w:b/>
          <w:sz w:val="22"/>
          <w:szCs w:val="22"/>
        </w:rPr>
      </w:pPr>
    </w:p>
    <w:p w:rsidR="00A715D0" w:rsidRDefault="00A715D0" w:rsidP="008401B2">
      <w:pPr>
        <w:pStyle w:val="Estilo1"/>
        <w:tabs>
          <w:tab w:val="clear" w:pos="2268"/>
        </w:tabs>
        <w:ind w:left="0" w:firstLine="0"/>
        <w:jc w:val="center"/>
        <w:rPr>
          <w:b/>
          <w:sz w:val="22"/>
          <w:szCs w:val="22"/>
        </w:rPr>
      </w:pPr>
    </w:p>
    <w:p w:rsidR="00A715D0" w:rsidRDefault="00A715D0" w:rsidP="008401B2">
      <w:pPr>
        <w:pStyle w:val="Estilo1"/>
        <w:tabs>
          <w:tab w:val="clear" w:pos="2268"/>
        </w:tabs>
        <w:ind w:left="0" w:firstLine="0"/>
        <w:jc w:val="center"/>
        <w:rPr>
          <w:b/>
          <w:sz w:val="22"/>
          <w:szCs w:val="22"/>
        </w:rPr>
      </w:pPr>
    </w:p>
    <w:p w:rsidR="00A715D0" w:rsidRDefault="00A715D0" w:rsidP="008401B2">
      <w:pPr>
        <w:pStyle w:val="Estilo1"/>
        <w:tabs>
          <w:tab w:val="clear" w:pos="2268"/>
        </w:tabs>
        <w:ind w:left="0" w:firstLine="0"/>
        <w:jc w:val="center"/>
        <w:rPr>
          <w:b/>
          <w:sz w:val="22"/>
          <w:szCs w:val="22"/>
        </w:rPr>
      </w:pPr>
    </w:p>
    <w:p w:rsidR="00A715D0" w:rsidRPr="0057291B" w:rsidRDefault="00A715D0" w:rsidP="008401B2">
      <w:pPr>
        <w:pStyle w:val="Estilo1"/>
        <w:tabs>
          <w:tab w:val="clear" w:pos="2268"/>
        </w:tabs>
        <w:ind w:left="0" w:firstLine="0"/>
        <w:jc w:val="center"/>
        <w:rPr>
          <w:b/>
          <w:sz w:val="22"/>
          <w:szCs w:val="22"/>
        </w:rPr>
      </w:pPr>
    </w:p>
    <w:bookmarkEnd w:id="1"/>
    <w:p w:rsidR="00A715D0" w:rsidRDefault="00A715D0" w:rsidP="00BF19ED">
      <w:pPr>
        <w:rPr>
          <w:rFonts w:ascii="Times New Roman" w:hAnsi="Times New Roman" w:cs="Times New Roman"/>
          <w:b/>
          <w:bCs/>
          <w:lang w:eastAsia="pt-BR"/>
        </w:rPr>
      </w:pPr>
    </w:p>
    <w:p w:rsidR="006A499B" w:rsidRDefault="006A499B" w:rsidP="00BF19ED">
      <w:pPr>
        <w:rPr>
          <w:rFonts w:ascii="Times New Roman" w:hAnsi="Times New Roman" w:cs="Times New Roman"/>
          <w:b/>
          <w:bCs/>
          <w:lang w:eastAsia="pt-BR"/>
        </w:rPr>
      </w:pPr>
    </w:p>
    <w:p w:rsidR="006A499B" w:rsidRDefault="006A499B" w:rsidP="00BF19ED">
      <w:pPr>
        <w:rPr>
          <w:rFonts w:ascii="Times New Roman" w:hAnsi="Times New Roman" w:cs="Times New Roman"/>
          <w:b/>
          <w:bCs/>
          <w:lang w:eastAsia="pt-BR"/>
        </w:rPr>
      </w:pPr>
    </w:p>
    <w:p w:rsidR="006A499B" w:rsidRDefault="006A499B" w:rsidP="00BF19ED">
      <w:pPr>
        <w:rPr>
          <w:rFonts w:ascii="Times New Roman" w:hAnsi="Times New Roman" w:cs="Times New Roman"/>
          <w:b/>
          <w:bCs/>
          <w:lang w:eastAsia="pt-BR"/>
        </w:rPr>
      </w:pPr>
    </w:p>
    <w:p w:rsidR="006A499B" w:rsidRDefault="006A499B" w:rsidP="00BF19ED">
      <w:pPr>
        <w:rPr>
          <w:rFonts w:ascii="Times New Roman" w:hAnsi="Times New Roman" w:cs="Times New Roman"/>
          <w:b/>
          <w:bCs/>
          <w:lang w:eastAsia="pt-BR"/>
        </w:rPr>
      </w:pPr>
    </w:p>
    <w:p w:rsidR="006A499B" w:rsidRDefault="006A499B" w:rsidP="00BF19ED">
      <w:pPr>
        <w:rPr>
          <w:rFonts w:ascii="Times New Roman" w:hAnsi="Times New Roman" w:cs="Times New Roman"/>
          <w:b/>
          <w:bCs/>
          <w:lang w:eastAsia="pt-BR"/>
        </w:rPr>
      </w:pPr>
    </w:p>
    <w:p w:rsidR="006A499B" w:rsidRDefault="006A499B" w:rsidP="006A499B">
      <w:pPr>
        <w:ind w:left="357"/>
        <w:jc w:val="both"/>
        <w:rPr>
          <w:sz w:val="16"/>
          <w:szCs w:val="16"/>
        </w:rPr>
      </w:pPr>
      <w:r>
        <w:rPr>
          <w:sz w:val="16"/>
          <w:szCs w:val="16"/>
        </w:rPr>
        <w:t xml:space="preserve">          </w:t>
      </w:r>
      <w:r w:rsidRPr="006D7F05">
        <w:rPr>
          <w:sz w:val="16"/>
          <w:szCs w:val="16"/>
        </w:rPr>
        <w:t>* Os dados acima são meramente informativos, podendo não representar a realidade do quadro da empresa durante a vigência dos contratos.</w:t>
      </w:r>
    </w:p>
    <w:p w:rsidR="003128AC" w:rsidRDefault="003128AC" w:rsidP="006A499B">
      <w:pPr>
        <w:ind w:left="357"/>
        <w:jc w:val="both"/>
        <w:rPr>
          <w:sz w:val="16"/>
          <w:szCs w:val="16"/>
        </w:rPr>
      </w:pPr>
    </w:p>
    <w:p w:rsidR="003128AC" w:rsidRDefault="003128AC" w:rsidP="006A499B">
      <w:pPr>
        <w:ind w:left="357"/>
        <w:jc w:val="both"/>
        <w:rPr>
          <w:sz w:val="16"/>
          <w:szCs w:val="16"/>
        </w:rPr>
      </w:pPr>
    </w:p>
    <w:p w:rsidR="003128AC" w:rsidRDefault="003128AC" w:rsidP="006A499B">
      <w:pPr>
        <w:ind w:left="357"/>
        <w:jc w:val="both"/>
        <w:rPr>
          <w:sz w:val="16"/>
          <w:szCs w:val="16"/>
        </w:rPr>
      </w:pPr>
    </w:p>
    <w:p w:rsidR="003128AC" w:rsidRPr="006D7F05" w:rsidRDefault="003128AC" w:rsidP="006A499B">
      <w:pPr>
        <w:ind w:left="357"/>
        <w:jc w:val="both"/>
        <w:rPr>
          <w:sz w:val="16"/>
          <w:szCs w:val="16"/>
        </w:rPr>
      </w:pPr>
    </w:p>
    <w:p w:rsidR="006A499B" w:rsidRDefault="006A499B" w:rsidP="00BF19ED">
      <w:pPr>
        <w:rPr>
          <w:rFonts w:ascii="Times New Roman" w:hAnsi="Times New Roman" w:cs="Times New Roman"/>
          <w:b/>
          <w:bCs/>
          <w:lang w:eastAsia="pt-BR"/>
        </w:rPr>
      </w:pPr>
    </w:p>
    <w:tbl>
      <w:tblPr>
        <w:tblW w:w="3644" w:type="dxa"/>
        <w:jc w:val="center"/>
        <w:tblCellMar>
          <w:left w:w="70" w:type="dxa"/>
          <w:right w:w="70" w:type="dxa"/>
        </w:tblCellMar>
        <w:tblLook w:val="04A0"/>
      </w:tblPr>
      <w:tblGrid>
        <w:gridCol w:w="1300"/>
        <w:gridCol w:w="543"/>
        <w:gridCol w:w="1801"/>
      </w:tblGrid>
      <w:tr w:rsidR="006A499B" w:rsidRPr="00DF1D88" w:rsidTr="009E6E1F">
        <w:trPr>
          <w:trHeight w:val="315"/>
          <w:jc w:val="center"/>
        </w:trPr>
        <w:tc>
          <w:tcPr>
            <w:tcW w:w="1843" w:type="dxa"/>
            <w:gridSpan w:val="2"/>
            <w:tcBorders>
              <w:top w:val="single" w:sz="8" w:space="0" w:color="000000"/>
              <w:left w:val="nil"/>
              <w:bottom w:val="single" w:sz="8" w:space="0" w:color="000000"/>
              <w:right w:val="nil"/>
            </w:tcBorders>
            <w:shd w:val="clear" w:color="000000" w:fill="C0504D"/>
            <w:noWrap/>
            <w:vAlign w:val="bottom"/>
            <w:hideMark/>
          </w:tcPr>
          <w:p w:rsidR="006A499B" w:rsidRPr="00DF1D88" w:rsidRDefault="006A499B" w:rsidP="009E6E1F">
            <w:pPr>
              <w:rPr>
                <w:rFonts w:eastAsia="Times New Roman"/>
                <w:b/>
                <w:bCs/>
                <w:color w:val="FFFFFF"/>
                <w:sz w:val="20"/>
                <w:szCs w:val="20"/>
                <w:lang w:eastAsia="pt-BR"/>
              </w:rPr>
            </w:pPr>
            <w:r w:rsidRPr="00DF1D88">
              <w:rPr>
                <w:rFonts w:eastAsia="Times New Roman"/>
                <w:b/>
                <w:bCs/>
                <w:color w:val="FFFFFF"/>
                <w:sz w:val="20"/>
                <w:szCs w:val="20"/>
                <w:lang w:eastAsia="pt-BR"/>
              </w:rPr>
              <w:t>Faixa Etária</w:t>
            </w:r>
          </w:p>
        </w:tc>
        <w:tc>
          <w:tcPr>
            <w:tcW w:w="1801" w:type="dxa"/>
            <w:tcBorders>
              <w:top w:val="single" w:sz="8" w:space="0" w:color="000000"/>
              <w:left w:val="nil"/>
              <w:bottom w:val="single" w:sz="8" w:space="0" w:color="000000"/>
              <w:right w:val="nil"/>
            </w:tcBorders>
            <w:shd w:val="clear" w:color="000000" w:fill="FFFF00"/>
            <w:noWrap/>
            <w:vAlign w:val="bottom"/>
            <w:hideMark/>
          </w:tcPr>
          <w:p w:rsidR="006A499B" w:rsidRPr="00DF1D88" w:rsidRDefault="006A499B" w:rsidP="009E6E1F">
            <w:pPr>
              <w:rPr>
                <w:rFonts w:eastAsia="Times New Roman"/>
                <w:b/>
                <w:bCs/>
                <w:sz w:val="20"/>
                <w:szCs w:val="20"/>
                <w:lang w:eastAsia="pt-BR"/>
              </w:rPr>
            </w:pPr>
            <w:r w:rsidRPr="00DF1D88">
              <w:rPr>
                <w:rFonts w:eastAsia="Times New Roman"/>
                <w:b/>
                <w:bCs/>
                <w:sz w:val="20"/>
                <w:szCs w:val="20"/>
                <w:lang w:eastAsia="pt-BR"/>
              </w:rPr>
              <w:t>Valores (R$)</w:t>
            </w:r>
          </w:p>
        </w:tc>
      </w:tr>
      <w:tr w:rsidR="006A499B" w:rsidRPr="00DF1D88" w:rsidTr="009E6E1F">
        <w:trPr>
          <w:trHeight w:val="300"/>
          <w:jc w:val="center"/>
        </w:trPr>
        <w:tc>
          <w:tcPr>
            <w:tcW w:w="1300" w:type="dxa"/>
            <w:tcBorders>
              <w:top w:val="nil"/>
              <w:left w:val="nil"/>
              <w:bottom w:val="nil"/>
              <w:right w:val="nil"/>
            </w:tcBorders>
            <w:shd w:val="clear" w:color="000000" w:fill="D8D8D8"/>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00 a 18 anos</w:t>
            </w:r>
          </w:p>
        </w:tc>
        <w:tc>
          <w:tcPr>
            <w:tcW w:w="2344" w:type="dxa"/>
            <w:gridSpan w:val="2"/>
            <w:tcBorders>
              <w:top w:val="nil"/>
              <w:left w:val="nil"/>
              <w:bottom w:val="nil"/>
              <w:right w:val="nil"/>
            </w:tcBorders>
            <w:shd w:val="clear" w:color="000000" w:fill="D8D8D8"/>
            <w:noWrap/>
            <w:vAlign w:val="bottom"/>
            <w:hideMark/>
          </w:tcPr>
          <w:p w:rsidR="006A499B" w:rsidRPr="00DF1D88" w:rsidRDefault="006A499B" w:rsidP="006A499B">
            <w:pPr>
              <w:rPr>
                <w:rFonts w:eastAsia="Times New Roman"/>
                <w:color w:val="000000"/>
                <w:sz w:val="20"/>
                <w:szCs w:val="20"/>
                <w:lang w:eastAsia="pt-BR"/>
              </w:rPr>
            </w:pPr>
            <w:r w:rsidRPr="00DF1D88">
              <w:rPr>
                <w:rFonts w:eastAsia="Times New Roman"/>
                <w:color w:val="000000"/>
                <w:sz w:val="20"/>
                <w:szCs w:val="20"/>
                <w:lang w:eastAsia="pt-BR"/>
              </w:rPr>
              <w:t xml:space="preserve">                                </w:t>
            </w:r>
          </w:p>
        </w:tc>
      </w:tr>
      <w:tr w:rsidR="006A499B" w:rsidRPr="00DF1D88" w:rsidTr="009E6E1F">
        <w:trPr>
          <w:trHeight w:val="300"/>
          <w:jc w:val="center"/>
        </w:trPr>
        <w:tc>
          <w:tcPr>
            <w:tcW w:w="1300" w:type="dxa"/>
            <w:tcBorders>
              <w:top w:val="nil"/>
              <w:left w:val="nil"/>
              <w:bottom w:val="nil"/>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19 a 23 anos</w:t>
            </w:r>
          </w:p>
        </w:tc>
        <w:tc>
          <w:tcPr>
            <w:tcW w:w="2344" w:type="dxa"/>
            <w:gridSpan w:val="2"/>
            <w:tcBorders>
              <w:top w:val="nil"/>
              <w:left w:val="nil"/>
              <w:bottom w:val="nil"/>
              <w:right w:val="nil"/>
            </w:tcBorders>
            <w:shd w:val="clear" w:color="auto" w:fill="auto"/>
            <w:noWrap/>
            <w:vAlign w:val="bottom"/>
            <w:hideMark/>
          </w:tcPr>
          <w:p w:rsidR="006A499B" w:rsidRPr="00DF1D88" w:rsidRDefault="006A499B" w:rsidP="006A499B">
            <w:pPr>
              <w:rPr>
                <w:rFonts w:eastAsia="Times New Roman"/>
                <w:color w:val="000000"/>
                <w:sz w:val="20"/>
                <w:szCs w:val="20"/>
                <w:lang w:eastAsia="pt-BR"/>
              </w:rPr>
            </w:pPr>
            <w:r w:rsidRPr="00DF1D88">
              <w:rPr>
                <w:rFonts w:eastAsia="Times New Roman"/>
                <w:color w:val="000000"/>
                <w:sz w:val="20"/>
                <w:szCs w:val="20"/>
                <w:lang w:eastAsia="pt-BR"/>
              </w:rPr>
              <w:t xml:space="preserve">                                </w:t>
            </w:r>
          </w:p>
        </w:tc>
      </w:tr>
      <w:tr w:rsidR="006A499B" w:rsidRPr="00DF1D88" w:rsidTr="009E6E1F">
        <w:trPr>
          <w:trHeight w:val="300"/>
          <w:jc w:val="center"/>
        </w:trPr>
        <w:tc>
          <w:tcPr>
            <w:tcW w:w="1300" w:type="dxa"/>
            <w:tcBorders>
              <w:top w:val="nil"/>
              <w:left w:val="nil"/>
              <w:bottom w:val="nil"/>
              <w:right w:val="nil"/>
            </w:tcBorders>
            <w:shd w:val="clear" w:color="000000" w:fill="D8D8D8"/>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24 a 28 anos</w:t>
            </w:r>
          </w:p>
        </w:tc>
        <w:tc>
          <w:tcPr>
            <w:tcW w:w="2344" w:type="dxa"/>
            <w:gridSpan w:val="2"/>
            <w:tcBorders>
              <w:top w:val="nil"/>
              <w:left w:val="nil"/>
              <w:bottom w:val="nil"/>
              <w:right w:val="nil"/>
            </w:tcBorders>
            <w:shd w:val="clear" w:color="000000" w:fill="D8D8D8"/>
            <w:noWrap/>
            <w:vAlign w:val="bottom"/>
            <w:hideMark/>
          </w:tcPr>
          <w:p w:rsidR="006A499B" w:rsidRPr="00DF1D88" w:rsidRDefault="006A499B" w:rsidP="006A499B">
            <w:pPr>
              <w:rPr>
                <w:rFonts w:eastAsia="Times New Roman"/>
                <w:color w:val="000000"/>
                <w:sz w:val="20"/>
                <w:szCs w:val="20"/>
                <w:lang w:eastAsia="pt-BR"/>
              </w:rPr>
            </w:pPr>
            <w:r w:rsidRPr="00DF1D88">
              <w:rPr>
                <w:rFonts w:eastAsia="Times New Roman"/>
                <w:color w:val="000000"/>
                <w:sz w:val="20"/>
                <w:szCs w:val="20"/>
                <w:lang w:eastAsia="pt-BR"/>
              </w:rPr>
              <w:t xml:space="preserve">                                </w:t>
            </w:r>
          </w:p>
        </w:tc>
      </w:tr>
      <w:tr w:rsidR="006A499B" w:rsidRPr="00DF1D88" w:rsidTr="009E6E1F">
        <w:trPr>
          <w:trHeight w:val="300"/>
          <w:jc w:val="center"/>
        </w:trPr>
        <w:tc>
          <w:tcPr>
            <w:tcW w:w="1300" w:type="dxa"/>
            <w:tcBorders>
              <w:top w:val="nil"/>
              <w:left w:val="nil"/>
              <w:bottom w:val="nil"/>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29 a 33 anos</w:t>
            </w:r>
          </w:p>
        </w:tc>
        <w:tc>
          <w:tcPr>
            <w:tcW w:w="2344" w:type="dxa"/>
            <w:gridSpan w:val="2"/>
            <w:tcBorders>
              <w:top w:val="nil"/>
              <w:left w:val="nil"/>
              <w:bottom w:val="nil"/>
              <w:right w:val="nil"/>
            </w:tcBorders>
            <w:shd w:val="clear" w:color="auto" w:fill="auto"/>
            <w:noWrap/>
            <w:vAlign w:val="bottom"/>
            <w:hideMark/>
          </w:tcPr>
          <w:p w:rsidR="006A499B" w:rsidRPr="00DF1D88" w:rsidRDefault="006A499B" w:rsidP="006A499B">
            <w:pPr>
              <w:rPr>
                <w:rFonts w:eastAsia="Times New Roman"/>
                <w:color w:val="000000"/>
                <w:sz w:val="20"/>
                <w:szCs w:val="20"/>
                <w:lang w:eastAsia="pt-BR"/>
              </w:rPr>
            </w:pPr>
            <w:r w:rsidRPr="00DF1D88">
              <w:rPr>
                <w:rFonts w:eastAsia="Times New Roman"/>
                <w:color w:val="000000"/>
                <w:sz w:val="20"/>
                <w:szCs w:val="20"/>
                <w:lang w:eastAsia="pt-BR"/>
              </w:rPr>
              <w:t xml:space="preserve">                                </w:t>
            </w:r>
          </w:p>
        </w:tc>
      </w:tr>
      <w:tr w:rsidR="006A499B" w:rsidRPr="00DF1D88" w:rsidTr="009E6E1F">
        <w:trPr>
          <w:trHeight w:val="300"/>
          <w:jc w:val="center"/>
        </w:trPr>
        <w:tc>
          <w:tcPr>
            <w:tcW w:w="1300" w:type="dxa"/>
            <w:tcBorders>
              <w:top w:val="nil"/>
              <w:left w:val="nil"/>
              <w:bottom w:val="nil"/>
              <w:right w:val="nil"/>
            </w:tcBorders>
            <w:shd w:val="clear" w:color="000000" w:fill="D8D8D8"/>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34 a 38 anos</w:t>
            </w:r>
          </w:p>
        </w:tc>
        <w:tc>
          <w:tcPr>
            <w:tcW w:w="2344" w:type="dxa"/>
            <w:gridSpan w:val="2"/>
            <w:tcBorders>
              <w:top w:val="nil"/>
              <w:left w:val="nil"/>
              <w:bottom w:val="nil"/>
              <w:right w:val="nil"/>
            </w:tcBorders>
            <w:shd w:val="clear" w:color="000000" w:fill="D8D8D8"/>
            <w:noWrap/>
            <w:vAlign w:val="bottom"/>
            <w:hideMark/>
          </w:tcPr>
          <w:p w:rsidR="006A499B" w:rsidRPr="00DF1D88" w:rsidRDefault="006A499B" w:rsidP="006A499B">
            <w:pPr>
              <w:rPr>
                <w:rFonts w:eastAsia="Times New Roman"/>
                <w:color w:val="000000"/>
                <w:sz w:val="20"/>
                <w:szCs w:val="20"/>
                <w:lang w:eastAsia="pt-BR"/>
              </w:rPr>
            </w:pPr>
            <w:r w:rsidRPr="00DF1D88">
              <w:rPr>
                <w:rFonts w:eastAsia="Times New Roman"/>
                <w:color w:val="000000"/>
                <w:sz w:val="20"/>
                <w:szCs w:val="20"/>
                <w:lang w:eastAsia="pt-BR"/>
              </w:rPr>
              <w:t xml:space="preserve">                                </w:t>
            </w:r>
          </w:p>
        </w:tc>
      </w:tr>
      <w:tr w:rsidR="006A499B" w:rsidRPr="00DF1D88" w:rsidTr="009E6E1F">
        <w:trPr>
          <w:trHeight w:val="300"/>
          <w:jc w:val="center"/>
        </w:trPr>
        <w:tc>
          <w:tcPr>
            <w:tcW w:w="1300" w:type="dxa"/>
            <w:tcBorders>
              <w:top w:val="nil"/>
              <w:left w:val="nil"/>
              <w:bottom w:val="nil"/>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39 a 43 anos</w:t>
            </w:r>
          </w:p>
        </w:tc>
        <w:tc>
          <w:tcPr>
            <w:tcW w:w="2344" w:type="dxa"/>
            <w:gridSpan w:val="2"/>
            <w:tcBorders>
              <w:top w:val="nil"/>
              <w:left w:val="nil"/>
              <w:bottom w:val="nil"/>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p>
        </w:tc>
      </w:tr>
      <w:tr w:rsidR="006A499B" w:rsidRPr="00DF1D88" w:rsidTr="009E6E1F">
        <w:trPr>
          <w:trHeight w:val="300"/>
          <w:jc w:val="center"/>
        </w:trPr>
        <w:tc>
          <w:tcPr>
            <w:tcW w:w="1300" w:type="dxa"/>
            <w:tcBorders>
              <w:top w:val="nil"/>
              <w:left w:val="nil"/>
              <w:bottom w:val="nil"/>
              <w:right w:val="nil"/>
            </w:tcBorders>
            <w:shd w:val="clear" w:color="000000" w:fill="D8D8D8"/>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44 a 48 anos</w:t>
            </w:r>
          </w:p>
        </w:tc>
        <w:tc>
          <w:tcPr>
            <w:tcW w:w="2344" w:type="dxa"/>
            <w:gridSpan w:val="2"/>
            <w:tcBorders>
              <w:top w:val="nil"/>
              <w:left w:val="nil"/>
              <w:bottom w:val="nil"/>
              <w:right w:val="nil"/>
            </w:tcBorders>
            <w:shd w:val="clear" w:color="000000" w:fill="D8D8D8"/>
            <w:noWrap/>
            <w:vAlign w:val="bottom"/>
            <w:hideMark/>
          </w:tcPr>
          <w:p w:rsidR="006A499B" w:rsidRPr="00DF1D88" w:rsidRDefault="006A499B" w:rsidP="009E6E1F">
            <w:pPr>
              <w:rPr>
                <w:rFonts w:eastAsia="Times New Roman"/>
                <w:color w:val="000000"/>
                <w:sz w:val="20"/>
                <w:szCs w:val="20"/>
                <w:lang w:eastAsia="pt-BR"/>
              </w:rPr>
            </w:pPr>
          </w:p>
        </w:tc>
      </w:tr>
      <w:tr w:rsidR="006A499B" w:rsidRPr="00DF1D88" w:rsidTr="009E6E1F">
        <w:trPr>
          <w:trHeight w:val="300"/>
          <w:jc w:val="center"/>
        </w:trPr>
        <w:tc>
          <w:tcPr>
            <w:tcW w:w="1300" w:type="dxa"/>
            <w:tcBorders>
              <w:top w:val="nil"/>
              <w:left w:val="nil"/>
              <w:bottom w:val="nil"/>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49 a 53 anos</w:t>
            </w:r>
          </w:p>
        </w:tc>
        <w:tc>
          <w:tcPr>
            <w:tcW w:w="2344" w:type="dxa"/>
            <w:gridSpan w:val="2"/>
            <w:tcBorders>
              <w:top w:val="nil"/>
              <w:left w:val="nil"/>
              <w:bottom w:val="nil"/>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p>
        </w:tc>
      </w:tr>
      <w:tr w:rsidR="006A499B" w:rsidRPr="00DF1D88" w:rsidTr="009E6E1F">
        <w:trPr>
          <w:trHeight w:val="300"/>
          <w:jc w:val="center"/>
        </w:trPr>
        <w:tc>
          <w:tcPr>
            <w:tcW w:w="1300" w:type="dxa"/>
            <w:tcBorders>
              <w:top w:val="nil"/>
              <w:left w:val="nil"/>
              <w:bottom w:val="nil"/>
              <w:right w:val="nil"/>
            </w:tcBorders>
            <w:shd w:val="clear" w:color="000000" w:fill="D8D8D8"/>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54 a 58 anos</w:t>
            </w:r>
          </w:p>
        </w:tc>
        <w:tc>
          <w:tcPr>
            <w:tcW w:w="2344" w:type="dxa"/>
            <w:gridSpan w:val="2"/>
            <w:tcBorders>
              <w:top w:val="nil"/>
              <w:left w:val="nil"/>
              <w:bottom w:val="nil"/>
              <w:right w:val="nil"/>
            </w:tcBorders>
            <w:shd w:val="clear" w:color="000000" w:fill="D8D8D8"/>
            <w:noWrap/>
            <w:vAlign w:val="bottom"/>
            <w:hideMark/>
          </w:tcPr>
          <w:p w:rsidR="006A499B" w:rsidRPr="00DF1D88" w:rsidRDefault="006A499B" w:rsidP="009E6E1F">
            <w:pPr>
              <w:rPr>
                <w:rFonts w:eastAsia="Times New Roman"/>
                <w:color w:val="000000"/>
                <w:sz w:val="20"/>
                <w:szCs w:val="20"/>
                <w:lang w:eastAsia="pt-BR"/>
              </w:rPr>
            </w:pPr>
          </w:p>
        </w:tc>
      </w:tr>
      <w:tr w:rsidR="006A499B" w:rsidRPr="00DF1D88" w:rsidTr="009E6E1F">
        <w:trPr>
          <w:trHeight w:val="315"/>
          <w:jc w:val="center"/>
        </w:trPr>
        <w:tc>
          <w:tcPr>
            <w:tcW w:w="1300" w:type="dxa"/>
            <w:tcBorders>
              <w:top w:val="nil"/>
              <w:left w:val="nil"/>
              <w:bottom w:val="single" w:sz="8" w:space="0" w:color="000000"/>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r w:rsidRPr="00DF1D88">
              <w:rPr>
                <w:rFonts w:eastAsia="Times New Roman"/>
                <w:color w:val="000000"/>
                <w:sz w:val="20"/>
                <w:szCs w:val="20"/>
                <w:lang w:eastAsia="pt-BR"/>
              </w:rPr>
              <w:t>59 a 999 anos</w:t>
            </w:r>
          </w:p>
        </w:tc>
        <w:tc>
          <w:tcPr>
            <w:tcW w:w="2344" w:type="dxa"/>
            <w:gridSpan w:val="2"/>
            <w:tcBorders>
              <w:top w:val="nil"/>
              <w:left w:val="nil"/>
              <w:bottom w:val="single" w:sz="8" w:space="0" w:color="000000"/>
              <w:right w:val="nil"/>
            </w:tcBorders>
            <w:shd w:val="clear" w:color="auto" w:fill="auto"/>
            <w:noWrap/>
            <w:vAlign w:val="bottom"/>
            <w:hideMark/>
          </w:tcPr>
          <w:p w:rsidR="006A499B" w:rsidRPr="00DF1D88" w:rsidRDefault="006A499B" w:rsidP="009E6E1F">
            <w:pPr>
              <w:rPr>
                <w:rFonts w:eastAsia="Times New Roman"/>
                <w:color w:val="000000"/>
                <w:sz w:val="20"/>
                <w:szCs w:val="20"/>
                <w:lang w:eastAsia="pt-BR"/>
              </w:rPr>
            </w:pPr>
          </w:p>
        </w:tc>
      </w:tr>
    </w:tbl>
    <w:p w:rsidR="006A499B" w:rsidRDefault="006A499B" w:rsidP="006A499B">
      <w:pPr>
        <w:rPr>
          <w:rFonts w:ascii="Times New Roman" w:hAnsi="Times New Roman" w:cs="Times New Roman"/>
          <w:b/>
          <w:bCs/>
          <w:lang w:eastAsia="pt-BR"/>
        </w:rPr>
      </w:pPr>
    </w:p>
    <w:sectPr w:rsidR="006A499B" w:rsidSect="003128AC">
      <w:headerReference w:type="default" r:id="rId7"/>
      <w:footerReference w:type="default" r:id="rId8"/>
      <w:pgSz w:w="11906" w:h="16838"/>
      <w:pgMar w:top="1985"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85" w:rsidRDefault="00572285" w:rsidP="00DC4FC8">
      <w:r>
        <w:separator/>
      </w:r>
    </w:p>
  </w:endnote>
  <w:endnote w:type="continuationSeparator" w:id="0">
    <w:p w:rsidR="00572285" w:rsidRDefault="00572285"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85" w:rsidRDefault="00572285" w:rsidP="00DC4FC8">
      <w:r>
        <w:separator/>
      </w:r>
    </w:p>
  </w:footnote>
  <w:footnote w:type="continuationSeparator" w:id="0">
    <w:p w:rsidR="00572285" w:rsidRDefault="00572285"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9">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CB7D6E"/>
    <w:multiLevelType w:val="hybridMultilevel"/>
    <w:tmpl w:val="7EF646B6"/>
    <w:lvl w:ilvl="0" w:tplc="178C9AE4">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8124EF"/>
    <w:multiLevelType w:val="hybridMultilevel"/>
    <w:tmpl w:val="170A2148"/>
    <w:lvl w:ilvl="0" w:tplc="1E3AE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493C7A"/>
    <w:multiLevelType w:val="hybridMultilevel"/>
    <w:tmpl w:val="7EF646B6"/>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0">
    <w:nsid w:val="6D1D5069"/>
    <w:multiLevelType w:val="hybridMultilevel"/>
    <w:tmpl w:val="8EA82E54"/>
    <w:lvl w:ilvl="0" w:tplc="40A8C212">
      <w:start w:val="1"/>
      <w:numFmt w:val="decimal"/>
      <w:lvlText w:val="%1)"/>
      <w:lvlJc w:val="left"/>
      <w:pPr>
        <w:ind w:left="720" w:hanging="360"/>
      </w:pPr>
      <w:rPr>
        <w:rFonts w:hint="default"/>
      </w:rPr>
    </w:lvl>
    <w:lvl w:ilvl="1" w:tplc="D804D02C" w:tentative="1">
      <w:start w:val="1"/>
      <w:numFmt w:val="lowerLetter"/>
      <w:lvlText w:val="%2."/>
      <w:lvlJc w:val="left"/>
      <w:pPr>
        <w:ind w:left="1440" w:hanging="360"/>
      </w:pPr>
    </w:lvl>
    <w:lvl w:ilvl="2" w:tplc="D5D4A42E" w:tentative="1">
      <w:start w:val="1"/>
      <w:numFmt w:val="lowerRoman"/>
      <w:lvlText w:val="%3."/>
      <w:lvlJc w:val="right"/>
      <w:pPr>
        <w:ind w:left="2160" w:hanging="180"/>
      </w:pPr>
    </w:lvl>
    <w:lvl w:ilvl="3" w:tplc="E18EAEFE" w:tentative="1">
      <w:start w:val="1"/>
      <w:numFmt w:val="decimal"/>
      <w:lvlText w:val="%4."/>
      <w:lvlJc w:val="left"/>
      <w:pPr>
        <w:ind w:left="2880" w:hanging="360"/>
      </w:pPr>
    </w:lvl>
    <w:lvl w:ilvl="4" w:tplc="D520A3E8" w:tentative="1">
      <w:start w:val="1"/>
      <w:numFmt w:val="lowerLetter"/>
      <w:lvlText w:val="%5."/>
      <w:lvlJc w:val="left"/>
      <w:pPr>
        <w:ind w:left="3600" w:hanging="360"/>
      </w:pPr>
    </w:lvl>
    <w:lvl w:ilvl="5" w:tplc="71CE600E" w:tentative="1">
      <w:start w:val="1"/>
      <w:numFmt w:val="lowerRoman"/>
      <w:lvlText w:val="%6."/>
      <w:lvlJc w:val="right"/>
      <w:pPr>
        <w:ind w:left="4320" w:hanging="180"/>
      </w:pPr>
    </w:lvl>
    <w:lvl w:ilvl="6" w:tplc="4E7EB284" w:tentative="1">
      <w:start w:val="1"/>
      <w:numFmt w:val="decimal"/>
      <w:lvlText w:val="%7."/>
      <w:lvlJc w:val="left"/>
      <w:pPr>
        <w:ind w:left="5040" w:hanging="360"/>
      </w:pPr>
    </w:lvl>
    <w:lvl w:ilvl="7" w:tplc="1B8C29C4" w:tentative="1">
      <w:start w:val="1"/>
      <w:numFmt w:val="lowerLetter"/>
      <w:lvlText w:val="%8."/>
      <w:lvlJc w:val="left"/>
      <w:pPr>
        <w:ind w:left="5760" w:hanging="360"/>
      </w:pPr>
    </w:lvl>
    <w:lvl w:ilvl="8" w:tplc="A33EF262" w:tentative="1">
      <w:start w:val="1"/>
      <w:numFmt w:val="lowerRoman"/>
      <w:lvlText w:val="%9."/>
      <w:lvlJc w:val="right"/>
      <w:pPr>
        <w:ind w:left="6480" w:hanging="180"/>
      </w:pPr>
    </w:lvl>
  </w:abstractNum>
  <w:abstractNum w:abstractNumId="31">
    <w:nsid w:val="6ED11410"/>
    <w:multiLevelType w:val="hybridMultilevel"/>
    <w:tmpl w:val="BE6E22FC"/>
    <w:lvl w:ilvl="0" w:tplc="04160011">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32">
    <w:nsid w:val="71D83312"/>
    <w:multiLevelType w:val="hybridMultilevel"/>
    <w:tmpl w:val="87880D62"/>
    <w:lvl w:ilvl="0" w:tplc="A0B841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552024"/>
    <w:multiLevelType w:val="hybridMultilevel"/>
    <w:tmpl w:val="19C06004"/>
    <w:lvl w:ilvl="0" w:tplc="04160011">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4">
    <w:nsid w:val="76EB77AB"/>
    <w:multiLevelType w:val="hybridMultilevel"/>
    <w:tmpl w:val="66342E18"/>
    <w:lvl w:ilvl="0" w:tplc="04160001">
      <w:start w:val="1"/>
      <w:numFmt w:val="lowerLetter"/>
      <w:lvlText w:val="%1)"/>
      <w:lvlJc w:val="left"/>
      <w:pPr>
        <w:ind w:left="720" w:hanging="360"/>
      </w:pPr>
      <w:rPr>
        <w:rFonts w:hint="default"/>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5">
    <w:nsid w:val="7828573D"/>
    <w:multiLevelType w:val="hybridMultilevel"/>
    <w:tmpl w:val="1C621C0E"/>
    <w:lvl w:ilvl="0" w:tplc="ABD0D11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4A4639"/>
    <w:multiLevelType w:val="hybridMultilevel"/>
    <w:tmpl w:val="904C5238"/>
    <w:lvl w:ilvl="0" w:tplc="83CE13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C36728C"/>
    <w:multiLevelType w:val="hybridMultilevel"/>
    <w:tmpl w:val="26422F82"/>
    <w:lvl w:ilvl="0" w:tplc="9E0469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nsid w:val="7D592381"/>
    <w:multiLevelType w:val="hybridMultilevel"/>
    <w:tmpl w:val="615CA3F8"/>
    <w:lvl w:ilvl="0" w:tplc="E6780C2A">
      <w:numFmt w:val="bullet"/>
      <w:lvlText w:val=""/>
      <w:lvlJc w:val="left"/>
      <w:pPr>
        <w:ind w:left="720" w:hanging="360"/>
      </w:pPr>
      <w:rPr>
        <w:rFonts w:ascii="Symbol" w:eastAsia="Times New Roman" w:hAnsi="Symbol" w:cs="Times New Roman"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0">
    <w:nsid w:val="7F356A8E"/>
    <w:multiLevelType w:val="hybridMultilevel"/>
    <w:tmpl w:val="17A4500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38"/>
  </w:num>
  <w:num w:numId="2">
    <w:abstractNumId w:val="20"/>
  </w:num>
  <w:num w:numId="3">
    <w:abstractNumId w:val="29"/>
  </w:num>
  <w:num w:numId="4">
    <w:abstractNumId w:val="8"/>
  </w:num>
  <w:num w:numId="5">
    <w:abstractNumId w:val="0"/>
  </w:num>
  <w:num w:numId="6">
    <w:abstractNumId w:val="21"/>
  </w:num>
  <w:num w:numId="7">
    <w:abstractNumId w:val="37"/>
  </w:num>
  <w:num w:numId="8">
    <w:abstractNumId w:val="24"/>
  </w:num>
  <w:num w:numId="9">
    <w:abstractNumId w:val="34"/>
  </w:num>
  <w:num w:numId="10">
    <w:abstractNumId w:val="40"/>
  </w:num>
  <w:num w:numId="11">
    <w:abstractNumId w:val="32"/>
  </w:num>
  <w:num w:numId="12">
    <w:abstractNumId w:val="19"/>
  </w:num>
  <w:num w:numId="13">
    <w:abstractNumId w:val="3"/>
  </w:num>
  <w:num w:numId="14">
    <w:abstractNumId w:val="1"/>
  </w:num>
  <w:num w:numId="15">
    <w:abstractNumId w:val="14"/>
  </w:num>
  <w:num w:numId="16">
    <w:abstractNumId w:val="2"/>
  </w:num>
  <w:num w:numId="17">
    <w:abstractNumId w:val="10"/>
  </w:num>
  <w:num w:numId="18">
    <w:abstractNumId w:val="26"/>
  </w:num>
  <w:num w:numId="19">
    <w:abstractNumId w:val="16"/>
  </w:num>
  <w:num w:numId="20">
    <w:abstractNumId w:val="13"/>
  </w:num>
  <w:num w:numId="21">
    <w:abstractNumId w:val="12"/>
  </w:num>
  <w:num w:numId="22">
    <w:abstractNumId w:val="39"/>
  </w:num>
  <w:num w:numId="23">
    <w:abstractNumId w:val="28"/>
  </w:num>
  <w:num w:numId="24">
    <w:abstractNumId w:val="36"/>
  </w:num>
  <w:num w:numId="25">
    <w:abstractNumId w:val="11"/>
  </w:num>
  <w:num w:numId="26">
    <w:abstractNumId w:val="35"/>
  </w:num>
  <w:num w:numId="27">
    <w:abstractNumId w:val="22"/>
  </w:num>
  <w:num w:numId="28">
    <w:abstractNumId w:val="23"/>
  </w:num>
  <w:num w:numId="29">
    <w:abstractNumId w:val="18"/>
  </w:num>
  <w:num w:numId="30">
    <w:abstractNumId w:val="33"/>
  </w:num>
  <w:num w:numId="31">
    <w:abstractNumId w:val="30"/>
  </w:num>
  <w:num w:numId="32">
    <w:abstractNumId w:val="31"/>
  </w:num>
  <w:num w:numId="33">
    <w:abstractNumId w:val="5"/>
  </w:num>
  <w:num w:numId="34">
    <w:abstractNumId w:val="7"/>
  </w:num>
  <w:num w:numId="35">
    <w:abstractNumId w:val="15"/>
  </w:num>
  <w:num w:numId="36">
    <w:abstractNumId w:val="27"/>
  </w:num>
  <w:num w:numId="37">
    <w:abstractNumId w:val="25"/>
  </w:num>
  <w:num w:numId="38">
    <w:abstractNumId w:val="6"/>
  </w:num>
  <w:num w:numId="39">
    <w:abstractNumId w:val="4"/>
  </w:num>
  <w:num w:numId="40">
    <w:abstractNumId w:val="9"/>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21858"/>
  </w:hdrShapeDefaults>
  <w:footnotePr>
    <w:footnote w:id="-1"/>
    <w:footnote w:id="0"/>
  </w:footnotePr>
  <w:endnotePr>
    <w:endnote w:id="-1"/>
    <w:endnote w:id="0"/>
  </w:endnotePr>
  <w:compat/>
  <w:rsids>
    <w:rsidRoot w:val="00E3167E"/>
    <w:rsid w:val="0000017C"/>
    <w:rsid w:val="00001DF9"/>
    <w:rsid w:val="0000327B"/>
    <w:rsid w:val="000059EC"/>
    <w:rsid w:val="00007DCA"/>
    <w:rsid w:val="000108CD"/>
    <w:rsid w:val="00015F1B"/>
    <w:rsid w:val="000264BB"/>
    <w:rsid w:val="000423DC"/>
    <w:rsid w:val="00057227"/>
    <w:rsid w:val="00070416"/>
    <w:rsid w:val="000752F5"/>
    <w:rsid w:val="00077955"/>
    <w:rsid w:val="000853A3"/>
    <w:rsid w:val="00092CA0"/>
    <w:rsid w:val="000A1F7D"/>
    <w:rsid w:val="000A49BD"/>
    <w:rsid w:val="000A718C"/>
    <w:rsid w:val="000C2BC6"/>
    <w:rsid w:val="000C4315"/>
    <w:rsid w:val="000C4AC9"/>
    <w:rsid w:val="000D546D"/>
    <w:rsid w:val="000E5E8E"/>
    <w:rsid w:val="000F0CA6"/>
    <w:rsid w:val="000F5E88"/>
    <w:rsid w:val="000F734D"/>
    <w:rsid w:val="00101357"/>
    <w:rsid w:val="00102FB1"/>
    <w:rsid w:val="0010511C"/>
    <w:rsid w:val="00106CB3"/>
    <w:rsid w:val="00122B77"/>
    <w:rsid w:val="00125432"/>
    <w:rsid w:val="001265BE"/>
    <w:rsid w:val="00132A27"/>
    <w:rsid w:val="00143128"/>
    <w:rsid w:val="00155FE8"/>
    <w:rsid w:val="00160704"/>
    <w:rsid w:val="00164557"/>
    <w:rsid w:val="001647BA"/>
    <w:rsid w:val="00164A6F"/>
    <w:rsid w:val="00164EFE"/>
    <w:rsid w:val="00175B64"/>
    <w:rsid w:val="00182889"/>
    <w:rsid w:val="00193D96"/>
    <w:rsid w:val="00195BB1"/>
    <w:rsid w:val="001B21C3"/>
    <w:rsid w:val="001B5438"/>
    <w:rsid w:val="001B7790"/>
    <w:rsid w:val="001C29EB"/>
    <w:rsid w:val="001E5BFA"/>
    <w:rsid w:val="001F5CF4"/>
    <w:rsid w:val="00201806"/>
    <w:rsid w:val="0020317A"/>
    <w:rsid w:val="002266F5"/>
    <w:rsid w:val="00243B1E"/>
    <w:rsid w:val="00244AE8"/>
    <w:rsid w:val="002558CF"/>
    <w:rsid w:val="00257F58"/>
    <w:rsid w:val="0026437F"/>
    <w:rsid w:val="00264E20"/>
    <w:rsid w:val="002660FF"/>
    <w:rsid w:val="00266597"/>
    <w:rsid w:val="00270665"/>
    <w:rsid w:val="00273B69"/>
    <w:rsid w:val="002974B2"/>
    <w:rsid w:val="002A51C1"/>
    <w:rsid w:val="002B10AD"/>
    <w:rsid w:val="002B571E"/>
    <w:rsid w:val="002C05A0"/>
    <w:rsid w:val="002C682F"/>
    <w:rsid w:val="002D2802"/>
    <w:rsid w:val="002F356E"/>
    <w:rsid w:val="00303E22"/>
    <w:rsid w:val="00305E40"/>
    <w:rsid w:val="003110B6"/>
    <w:rsid w:val="003128AC"/>
    <w:rsid w:val="00314BC4"/>
    <w:rsid w:val="00321F87"/>
    <w:rsid w:val="00330309"/>
    <w:rsid w:val="00332665"/>
    <w:rsid w:val="0034057B"/>
    <w:rsid w:val="00377FAD"/>
    <w:rsid w:val="00393ACA"/>
    <w:rsid w:val="00395A88"/>
    <w:rsid w:val="003C3EB0"/>
    <w:rsid w:val="003D235E"/>
    <w:rsid w:val="003E7DCF"/>
    <w:rsid w:val="003F2F0B"/>
    <w:rsid w:val="003F5A7E"/>
    <w:rsid w:val="003F639A"/>
    <w:rsid w:val="004023C8"/>
    <w:rsid w:val="004024A8"/>
    <w:rsid w:val="004112C3"/>
    <w:rsid w:val="004330C5"/>
    <w:rsid w:val="00433325"/>
    <w:rsid w:val="0044031D"/>
    <w:rsid w:val="004422EB"/>
    <w:rsid w:val="00451827"/>
    <w:rsid w:val="00457C40"/>
    <w:rsid w:val="00461614"/>
    <w:rsid w:val="004651F7"/>
    <w:rsid w:val="00466AAF"/>
    <w:rsid w:val="004808B2"/>
    <w:rsid w:val="004817A5"/>
    <w:rsid w:val="00486F96"/>
    <w:rsid w:val="00493A50"/>
    <w:rsid w:val="004A538A"/>
    <w:rsid w:val="004B0623"/>
    <w:rsid w:val="004B3935"/>
    <w:rsid w:val="004B4401"/>
    <w:rsid w:val="004D3D6E"/>
    <w:rsid w:val="004E5D9D"/>
    <w:rsid w:val="00504549"/>
    <w:rsid w:val="005053E4"/>
    <w:rsid w:val="00505425"/>
    <w:rsid w:val="00507127"/>
    <w:rsid w:val="005106EB"/>
    <w:rsid w:val="00511449"/>
    <w:rsid w:val="0051359A"/>
    <w:rsid w:val="00517BA8"/>
    <w:rsid w:val="00522A45"/>
    <w:rsid w:val="00525657"/>
    <w:rsid w:val="00531E20"/>
    <w:rsid w:val="005447D2"/>
    <w:rsid w:val="0054627E"/>
    <w:rsid w:val="005463BC"/>
    <w:rsid w:val="00553492"/>
    <w:rsid w:val="00571E81"/>
    <w:rsid w:val="00572285"/>
    <w:rsid w:val="0057291B"/>
    <w:rsid w:val="00577685"/>
    <w:rsid w:val="00584E3D"/>
    <w:rsid w:val="00585665"/>
    <w:rsid w:val="005A45C9"/>
    <w:rsid w:val="005A610D"/>
    <w:rsid w:val="005B0FC0"/>
    <w:rsid w:val="005B1043"/>
    <w:rsid w:val="005B2F50"/>
    <w:rsid w:val="005C24AB"/>
    <w:rsid w:val="005E0FF2"/>
    <w:rsid w:val="005E7252"/>
    <w:rsid w:val="005E79AA"/>
    <w:rsid w:val="005F47F3"/>
    <w:rsid w:val="00600B20"/>
    <w:rsid w:val="00603E16"/>
    <w:rsid w:val="00622226"/>
    <w:rsid w:val="0062503E"/>
    <w:rsid w:val="0062630C"/>
    <w:rsid w:val="00640F7A"/>
    <w:rsid w:val="006469D0"/>
    <w:rsid w:val="0065096F"/>
    <w:rsid w:val="00665EA3"/>
    <w:rsid w:val="00681D5A"/>
    <w:rsid w:val="00690A88"/>
    <w:rsid w:val="00690BA2"/>
    <w:rsid w:val="00694689"/>
    <w:rsid w:val="00695010"/>
    <w:rsid w:val="006A1EEC"/>
    <w:rsid w:val="006A2EAB"/>
    <w:rsid w:val="006A499B"/>
    <w:rsid w:val="006C2027"/>
    <w:rsid w:val="006C5B0D"/>
    <w:rsid w:val="006D5DAA"/>
    <w:rsid w:val="006E6206"/>
    <w:rsid w:val="006F0072"/>
    <w:rsid w:val="006F7A32"/>
    <w:rsid w:val="0071154D"/>
    <w:rsid w:val="00713A01"/>
    <w:rsid w:val="00717FBD"/>
    <w:rsid w:val="007427BE"/>
    <w:rsid w:val="007475A9"/>
    <w:rsid w:val="00756745"/>
    <w:rsid w:val="00765A48"/>
    <w:rsid w:val="00771356"/>
    <w:rsid w:val="00772752"/>
    <w:rsid w:val="00775608"/>
    <w:rsid w:val="00791538"/>
    <w:rsid w:val="007955BE"/>
    <w:rsid w:val="00797DD9"/>
    <w:rsid w:val="007A212D"/>
    <w:rsid w:val="007A3A05"/>
    <w:rsid w:val="007A4003"/>
    <w:rsid w:val="007B18AC"/>
    <w:rsid w:val="007C2548"/>
    <w:rsid w:val="007C4376"/>
    <w:rsid w:val="007C5044"/>
    <w:rsid w:val="007C58D9"/>
    <w:rsid w:val="007C7809"/>
    <w:rsid w:val="007C7F6E"/>
    <w:rsid w:val="007D421D"/>
    <w:rsid w:val="007E20B3"/>
    <w:rsid w:val="007E5BEA"/>
    <w:rsid w:val="007F1335"/>
    <w:rsid w:val="007F7839"/>
    <w:rsid w:val="00801F4F"/>
    <w:rsid w:val="00805964"/>
    <w:rsid w:val="00811480"/>
    <w:rsid w:val="0081797D"/>
    <w:rsid w:val="00823474"/>
    <w:rsid w:val="00827771"/>
    <w:rsid w:val="00827E05"/>
    <w:rsid w:val="00835F07"/>
    <w:rsid w:val="008401B2"/>
    <w:rsid w:val="00843754"/>
    <w:rsid w:val="0084763E"/>
    <w:rsid w:val="008531CE"/>
    <w:rsid w:val="00863E33"/>
    <w:rsid w:val="0087482D"/>
    <w:rsid w:val="00874C61"/>
    <w:rsid w:val="008769B3"/>
    <w:rsid w:val="00876B33"/>
    <w:rsid w:val="008844F7"/>
    <w:rsid w:val="008875E8"/>
    <w:rsid w:val="008938B9"/>
    <w:rsid w:val="008A32EB"/>
    <w:rsid w:val="008A5191"/>
    <w:rsid w:val="008A6F21"/>
    <w:rsid w:val="008C3458"/>
    <w:rsid w:val="008D1E86"/>
    <w:rsid w:val="008D695C"/>
    <w:rsid w:val="008E42DD"/>
    <w:rsid w:val="008E7AA6"/>
    <w:rsid w:val="00902269"/>
    <w:rsid w:val="00923151"/>
    <w:rsid w:val="00962BB3"/>
    <w:rsid w:val="00963084"/>
    <w:rsid w:val="009678FF"/>
    <w:rsid w:val="009702EB"/>
    <w:rsid w:val="0097341F"/>
    <w:rsid w:val="00977248"/>
    <w:rsid w:val="009808E3"/>
    <w:rsid w:val="00985FB4"/>
    <w:rsid w:val="009860D7"/>
    <w:rsid w:val="009872AD"/>
    <w:rsid w:val="00996E46"/>
    <w:rsid w:val="009A1592"/>
    <w:rsid w:val="009A3EB6"/>
    <w:rsid w:val="009A5205"/>
    <w:rsid w:val="009A5407"/>
    <w:rsid w:val="009A6BB9"/>
    <w:rsid w:val="009A74DF"/>
    <w:rsid w:val="009C4ABF"/>
    <w:rsid w:val="009C4CDE"/>
    <w:rsid w:val="009D210D"/>
    <w:rsid w:val="009E3E69"/>
    <w:rsid w:val="009F0FE0"/>
    <w:rsid w:val="00A0099E"/>
    <w:rsid w:val="00A01E31"/>
    <w:rsid w:val="00A0276D"/>
    <w:rsid w:val="00A055E9"/>
    <w:rsid w:val="00A177D8"/>
    <w:rsid w:val="00A25EDD"/>
    <w:rsid w:val="00A3343C"/>
    <w:rsid w:val="00A35003"/>
    <w:rsid w:val="00A35EE8"/>
    <w:rsid w:val="00A4135F"/>
    <w:rsid w:val="00A43EE8"/>
    <w:rsid w:val="00A517E9"/>
    <w:rsid w:val="00A5324E"/>
    <w:rsid w:val="00A612D0"/>
    <w:rsid w:val="00A63F37"/>
    <w:rsid w:val="00A64D25"/>
    <w:rsid w:val="00A67433"/>
    <w:rsid w:val="00A715D0"/>
    <w:rsid w:val="00A77A11"/>
    <w:rsid w:val="00A86CFB"/>
    <w:rsid w:val="00A86E3E"/>
    <w:rsid w:val="00A901B2"/>
    <w:rsid w:val="00AA1323"/>
    <w:rsid w:val="00AA62C3"/>
    <w:rsid w:val="00AB3C40"/>
    <w:rsid w:val="00AB583E"/>
    <w:rsid w:val="00AC2B47"/>
    <w:rsid w:val="00AD2CFA"/>
    <w:rsid w:val="00AD671C"/>
    <w:rsid w:val="00AE3ACC"/>
    <w:rsid w:val="00AE7DC1"/>
    <w:rsid w:val="00AF2026"/>
    <w:rsid w:val="00AF24C1"/>
    <w:rsid w:val="00AF5981"/>
    <w:rsid w:val="00B10803"/>
    <w:rsid w:val="00B16FD5"/>
    <w:rsid w:val="00B241B4"/>
    <w:rsid w:val="00B25A80"/>
    <w:rsid w:val="00B26D1B"/>
    <w:rsid w:val="00B26F7D"/>
    <w:rsid w:val="00B34CC1"/>
    <w:rsid w:val="00B355D6"/>
    <w:rsid w:val="00B35789"/>
    <w:rsid w:val="00B35FE0"/>
    <w:rsid w:val="00B4007D"/>
    <w:rsid w:val="00B40EBB"/>
    <w:rsid w:val="00B5130F"/>
    <w:rsid w:val="00B5308F"/>
    <w:rsid w:val="00B5317F"/>
    <w:rsid w:val="00B64D34"/>
    <w:rsid w:val="00B7132C"/>
    <w:rsid w:val="00B7313E"/>
    <w:rsid w:val="00B807FE"/>
    <w:rsid w:val="00B81E1D"/>
    <w:rsid w:val="00B90119"/>
    <w:rsid w:val="00B96060"/>
    <w:rsid w:val="00B96586"/>
    <w:rsid w:val="00BA276F"/>
    <w:rsid w:val="00BA38EB"/>
    <w:rsid w:val="00BB1B9B"/>
    <w:rsid w:val="00BB6431"/>
    <w:rsid w:val="00BD030E"/>
    <w:rsid w:val="00BD1291"/>
    <w:rsid w:val="00BD7E85"/>
    <w:rsid w:val="00BE52AF"/>
    <w:rsid w:val="00BF0E7E"/>
    <w:rsid w:val="00BF19ED"/>
    <w:rsid w:val="00C05CA6"/>
    <w:rsid w:val="00C12B55"/>
    <w:rsid w:val="00C15303"/>
    <w:rsid w:val="00C1678A"/>
    <w:rsid w:val="00C22702"/>
    <w:rsid w:val="00C247E5"/>
    <w:rsid w:val="00C25693"/>
    <w:rsid w:val="00C276EC"/>
    <w:rsid w:val="00C30E9A"/>
    <w:rsid w:val="00C36692"/>
    <w:rsid w:val="00C454A1"/>
    <w:rsid w:val="00C454C6"/>
    <w:rsid w:val="00C63B44"/>
    <w:rsid w:val="00C6795C"/>
    <w:rsid w:val="00C71144"/>
    <w:rsid w:val="00C8103B"/>
    <w:rsid w:val="00C94000"/>
    <w:rsid w:val="00CA5884"/>
    <w:rsid w:val="00CA71DC"/>
    <w:rsid w:val="00CB2939"/>
    <w:rsid w:val="00CB62E2"/>
    <w:rsid w:val="00CD0591"/>
    <w:rsid w:val="00CE1148"/>
    <w:rsid w:val="00CE1C7A"/>
    <w:rsid w:val="00CE2854"/>
    <w:rsid w:val="00CF37DC"/>
    <w:rsid w:val="00CF4466"/>
    <w:rsid w:val="00D23E62"/>
    <w:rsid w:val="00D307A2"/>
    <w:rsid w:val="00D46328"/>
    <w:rsid w:val="00D52AA0"/>
    <w:rsid w:val="00D56B2F"/>
    <w:rsid w:val="00D570DD"/>
    <w:rsid w:val="00D7390E"/>
    <w:rsid w:val="00D76269"/>
    <w:rsid w:val="00D8192F"/>
    <w:rsid w:val="00DA3697"/>
    <w:rsid w:val="00DB2539"/>
    <w:rsid w:val="00DC4FC8"/>
    <w:rsid w:val="00DD27BE"/>
    <w:rsid w:val="00DE7595"/>
    <w:rsid w:val="00DE7D62"/>
    <w:rsid w:val="00E31027"/>
    <w:rsid w:val="00E3167E"/>
    <w:rsid w:val="00E41D81"/>
    <w:rsid w:val="00E46369"/>
    <w:rsid w:val="00E52352"/>
    <w:rsid w:val="00E562E6"/>
    <w:rsid w:val="00E6011C"/>
    <w:rsid w:val="00E6109D"/>
    <w:rsid w:val="00E73DCA"/>
    <w:rsid w:val="00E7509C"/>
    <w:rsid w:val="00E804C4"/>
    <w:rsid w:val="00E973B7"/>
    <w:rsid w:val="00EA5429"/>
    <w:rsid w:val="00EB02FA"/>
    <w:rsid w:val="00EB0910"/>
    <w:rsid w:val="00EB7765"/>
    <w:rsid w:val="00ED1516"/>
    <w:rsid w:val="00EE2637"/>
    <w:rsid w:val="00EF632D"/>
    <w:rsid w:val="00F038C4"/>
    <w:rsid w:val="00F04F7C"/>
    <w:rsid w:val="00F066A6"/>
    <w:rsid w:val="00F104CA"/>
    <w:rsid w:val="00F128B9"/>
    <w:rsid w:val="00F23C7C"/>
    <w:rsid w:val="00F304F7"/>
    <w:rsid w:val="00F41E9B"/>
    <w:rsid w:val="00F4345C"/>
    <w:rsid w:val="00F43949"/>
    <w:rsid w:val="00F51C00"/>
    <w:rsid w:val="00F53A93"/>
    <w:rsid w:val="00F563C3"/>
    <w:rsid w:val="00F607F6"/>
    <w:rsid w:val="00F60A09"/>
    <w:rsid w:val="00F7286B"/>
    <w:rsid w:val="00F756C1"/>
    <w:rsid w:val="00F82E8F"/>
    <w:rsid w:val="00F91A32"/>
    <w:rsid w:val="00F97C7C"/>
    <w:rsid w:val="00FA1E81"/>
    <w:rsid w:val="00FB2901"/>
    <w:rsid w:val="00FD6A69"/>
    <w:rsid w:val="00FD6CFB"/>
    <w:rsid w:val="00FE0270"/>
    <w:rsid w:val="00FF2BC0"/>
    <w:rsid w:val="00FF6932"/>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3289</Words>
  <Characters>17766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2</cp:revision>
  <cp:lastPrinted>2021-09-03T17:29:00Z</cp:lastPrinted>
  <dcterms:created xsi:type="dcterms:W3CDTF">2022-02-25T16:45:00Z</dcterms:created>
  <dcterms:modified xsi:type="dcterms:W3CDTF">2022-02-25T16:45:00Z</dcterms:modified>
</cp:coreProperties>
</file>